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84" w:rsidRDefault="0079578C">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t>ESCUELA NORMAL DE EDUCACION PREESCOLAR</w:t>
      </w:r>
      <w:r>
        <w:rPr>
          <w:noProof/>
        </w:rPr>
        <w:drawing>
          <wp:anchor distT="114300" distB="114300" distL="114300" distR="114300" simplePos="0" relativeHeight="251658240" behindDoc="0" locked="0" layoutInCell="1" hidden="0" allowOverlap="1">
            <wp:simplePos x="0" y="0"/>
            <wp:positionH relativeFrom="column">
              <wp:posOffset>-219074</wp:posOffset>
            </wp:positionH>
            <wp:positionV relativeFrom="paragraph">
              <wp:posOffset>114300</wp:posOffset>
            </wp:positionV>
            <wp:extent cx="1281113" cy="952622"/>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281113" cy="952622"/>
                    </a:xfrm>
                    <a:prstGeom prst="rect">
                      <a:avLst/>
                    </a:prstGeom>
                    <a:ln/>
                  </pic:spPr>
                </pic:pic>
              </a:graphicData>
            </a:graphic>
          </wp:anchor>
        </w:drawing>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LICENCIATURA EN EDUCACION PREESCOLAR</w:t>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CICLO ESCOLAR 2020-2021</w:t>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GRADO:</w:t>
      </w:r>
      <w:r>
        <w:rPr>
          <w:rFonts w:ascii="Times New Roman" w:eastAsia="Times New Roman" w:hAnsi="Times New Roman" w:cs="Times New Roman"/>
          <w:sz w:val="28"/>
          <w:szCs w:val="28"/>
        </w:rPr>
        <w:t xml:space="preserve"> 2do SEMESTRE                                                </w:t>
      </w:r>
      <w:r>
        <w:rPr>
          <w:rFonts w:ascii="Times New Roman" w:eastAsia="Times New Roman" w:hAnsi="Times New Roman" w:cs="Times New Roman"/>
          <w:b/>
          <w:sz w:val="28"/>
          <w:szCs w:val="28"/>
        </w:rPr>
        <w:t>SECCION:</w:t>
      </w:r>
      <w:r>
        <w:rPr>
          <w:rFonts w:ascii="Times New Roman" w:eastAsia="Times New Roman" w:hAnsi="Times New Roman" w:cs="Times New Roman"/>
          <w:sz w:val="28"/>
          <w:szCs w:val="28"/>
        </w:rPr>
        <w:t xml:space="preserve"> D</w:t>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CURSO:</w:t>
      </w:r>
      <w:r>
        <w:rPr>
          <w:rFonts w:ascii="Times New Roman" w:eastAsia="Times New Roman" w:hAnsi="Times New Roman" w:cs="Times New Roman"/>
          <w:sz w:val="28"/>
          <w:szCs w:val="28"/>
        </w:rPr>
        <w:t xml:space="preserve"> PRACTICAS SOCIALES DEL LENGUAJE</w:t>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DOCENTE:</w:t>
      </w:r>
      <w:r>
        <w:rPr>
          <w:rFonts w:ascii="Times New Roman" w:eastAsia="Times New Roman" w:hAnsi="Times New Roman" w:cs="Times New Roman"/>
          <w:sz w:val="28"/>
          <w:szCs w:val="28"/>
        </w:rPr>
        <w:t xml:space="preserve"> MARIA ELENA VILLAREAL MARQUEZ</w:t>
      </w:r>
    </w:p>
    <w:p w:rsidR="00934491" w:rsidRDefault="00934491" w:rsidP="00934491">
      <w:pPr>
        <w:spacing w:before="240" w:after="240" w:line="360" w:lineRule="auto"/>
        <w:rPr>
          <w:rFonts w:ascii="Times New Roman" w:eastAsia="Times New Roman" w:hAnsi="Times New Roman" w:cs="Times New Roman"/>
          <w:sz w:val="28"/>
          <w:szCs w:val="28"/>
        </w:rPr>
      </w:pP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D0C84" w:rsidRDefault="0079578C">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ALUMNAS:</w:t>
      </w:r>
    </w:p>
    <w:p w:rsidR="00ED0C84" w:rsidRDefault="0079578C">
      <w:pPr>
        <w:spacing w:before="240" w:after="240" w:line="360" w:lineRule="auto"/>
        <w:ind w:left="3040" w:hanging="360"/>
        <w:jc w:val="center"/>
        <w:rPr>
          <w:rFonts w:ascii="Times New Roman" w:eastAsia="Times New Roman" w:hAnsi="Times New Roman" w:cs="Times New Roman"/>
          <w:sz w:val="28"/>
          <w:szCs w:val="28"/>
        </w:rPr>
      </w:pPr>
      <w:r>
        <w:rPr>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MAYRA ALEJANDRA FERRER FLORES</w:t>
      </w:r>
    </w:p>
    <w:p w:rsidR="009C16F7" w:rsidRDefault="009C16F7">
      <w:pPr>
        <w:spacing w:before="240" w:after="240" w:line="360" w:lineRule="auto"/>
        <w:ind w:left="3040" w:hanging="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SANDRA LUZ FLORES RODRIGUES</w:t>
      </w:r>
    </w:p>
    <w:p w:rsidR="00934491" w:rsidRPr="009C16F7" w:rsidRDefault="00934491">
      <w:pPr>
        <w:spacing w:before="240" w:after="240" w:line="360" w:lineRule="auto"/>
        <w:ind w:left="3040" w:hanging="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NANCY GUADALUPE COVARRUBIAS TAVITAS</w:t>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NOMBRE DEL TRABAJO:</w:t>
      </w:r>
      <w:r>
        <w:rPr>
          <w:rFonts w:ascii="Times New Roman" w:eastAsia="Times New Roman" w:hAnsi="Times New Roman" w:cs="Times New Roman"/>
          <w:sz w:val="28"/>
          <w:szCs w:val="28"/>
        </w:rPr>
        <w:t xml:space="preserve">  CUADRO DE DOBLE ENTRADA</w:t>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SALTILLO, COAHUILA DE ZARAGOZA</w:t>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MARZO 2021</w:t>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bl>
      <w:tblPr>
        <w:tblStyle w:val="a"/>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35"/>
        <w:gridCol w:w="2910"/>
        <w:gridCol w:w="3120"/>
      </w:tblGrid>
      <w:tr w:rsidR="00ED0C84">
        <w:trPr>
          <w:trHeight w:val="635"/>
        </w:trPr>
        <w:tc>
          <w:tcPr>
            <w:tcW w:w="2835" w:type="dxa"/>
            <w:tcBorders>
              <w:top w:val="single" w:sz="8" w:space="0" w:color="FFFFFF"/>
              <w:left w:val="single" w:sz="8" w:space="0" w:color="FFFFFF"/>
              <w:bottom w:val="single" w:sz="8" w:space="0" w:color="FFFFFF"/>
              <w:right w:val="nil"/>
            </w:tcBorders>
            <w:shd w:val="clear" w:color="auto" w:fill="ED7D31"/>
            <w:tcMar>
              <w:top w:w="100" w:type="dxa"/>
              <w:left w:w="100" w:type="dxa"/>
              <w:bottom w:w="100" w:type="dxa"/>
              <w:right w:w="100" w:type="dxa"/>
            </w:tcMar>
          </w:tcPr>
          <w:p w:rsidR="00ED0C84" w:rsidRDefault="0079578C">
            <w:pPr>
              <w:spacing w:before="240" w:line="360" w:lineRule="auto"/>
              <w:jc w:val="cente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AUTOR</w:t>
            </w:r>
          </w:p>
        </w:tc>
        <w:tc>
          <w:tcPr>
            <w:tcW w:w="2910" w:type="dxa"/>
            <w:tcBorders>
              <w:top w:val="single" w:sz="8" w:space="0" w:color="FFFFFF"/>
              <w:left w:val="nil"/>
              <w:bottom w:val="single" w:sz="8" w:space="0" w:color="FFFFFF"/>
              <w:right w:val="nil"/>
            </w:tcBorders>
            <w:shd w:val="clear" w:color="auto" w:fill="ED7D31"/>
            <w:tcMar>
              <w:top w:w="100" w:type="dxa"/>
              <w:left w:w="100" w:type="dxa"/>
              <w:bottom w:w="100" w:type="dxa"/>
              <w:right w:w="100" w:type="dxa"/>
            </w:tcMar>
          </w:tcPr>
          <w:p w:rsidR="00ED0C84" w:rsidRDefault="0079578C">
            <w:pPr>
              <w:spacing w:before="240" w:line="360" w:lineRule="auto"/>
              <w:jc w:val="cente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CONCEPTO</w:t>
            </w:r>
          </w:p>
        </w:tc>
        <w:tc>
          <w:tcPr>
            <w:tcW w:w="3120" w:type="dxa"/>
            <w:tcBorders>
              <w:top w:val="single" w:sz="8" w:space="0" w:color="FFFFFF"/>
              <w:left w:val="nil"/>
              <w:bottom w:val="single" w:sz="8" w:space="0" w:color="FFFFFF"/>
              <w:right w:val="single" w:sz="8" w:space="0" w:color="FFFFFF"/>
            </w:tcBorders>
            <w:shd w:val="clear" w:color="auto" w:fill="ED7D31"/>
            <w:tcMar>
              <w:top w:w="100" w:type="dxa"/>
              <w:left w:w="100" w:type="dxa"/>
              <w:bottom w:w="100" w:type="dxa"/>
              <w:right w:w="100" w:type="dxa"/>
            </w:tcMar>
          </w:tcPr>
          <w:p w:rsidR="00ED0C84" w:rsidRDefault="0079578C">
            <w:pPr>
              <w:spacing w:before="240" w:line="360" w:lineRule="auto"/>
              <w:jc w:val="cente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CARACTERÌSTICAS</w:t>
            </w:r>
          </w:p>
        </w:tc>
      </w:tr>
      <w:tr w:rsidR="00ED0C84">
        <w:trPr>
          <w:trHeight w:val="635"/>
        </w:trPr>
        <w:tc>
          <w:tcPr>
            <w:tcW w:w="2835" w:type="dxa"/>
            <w:tcBorders>
              <w:top w:val="nil"/>
              <w:left w:val="single" w:sz="8" w:space="0" w:color="FFFFFF"/>
              <w:bottom w:val="single" w:sz="8" w:space="0" w:color="FFFFFF"/>
              <w:right w:val="single" w:sz="8" w:space="0" w:color="FFFFFF"/>
            </w:tcBorders>
            <w:shd w:val="clear" w:color="auto" w:fill="ED7D31"/>
            <w:tcMar>
              <w:top w:w="100" w:type="dxa"/>
              <w:left w:w="100" w:type="dxa"/>
              <w:bottom w:w="100" w:type="dxa"/>
              <w:right w:w="100" w:type="dxa"/>
            </w:tcMar>
          </w:tcPr>
          <w:p w:rsidR="00ED0C84" w:rsidRDefault="0079578C">
            <w:pPr>
              <w:spacing w:before="240" w:line="360" w:lineRule="auto"/>
              <w:jc w:val="cente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Zamudio</w:t>
            </w:r>
          </w:p>
        </w:tc>
        <w:tc>
          <w:tcPr>
            <w:tcW w:w="2910" w:type="dxa"/>
            <w:tcBorders>
              <w:top w:val="nil"/>
              <w:left w:val="nil"/>
              <w:bottom w:val="single" w:sz="8" w:space="0" w:color="FFFFFF"/>
              <w:right w:val="single" w:sz="8" w:space="0" w:color="FFFFFF"/>
            </w:tcBorders>
            <w:shd w:val="clear" w:color="auto" w:fill="F7CAAC"/>
            <w:tcMar>
              <w:top w:w="100" w:type="dxa"/>
              <w:left w:w="100" w:type="dxa"/>
              <w:bottom w:w="100" w:type="dxa"/>
              <w:right w:w="100" w:type="dxa"/>
            </w:tcMar>
          </w:tcPr>
          <w:p w:rsidR="009C16F7" w:rsidRPr="009C16F7" w:rsidRDefault="009C16F7" w:rsidP="009C16F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Son pautas o modos de interacción que enmarcan la producción e interpretación de los textos orales y escritos; comprenden los diferentes modos de leer, interpretar, estudia y compartir los textos, de aproximarse su escritura y de participar en los intercambios orales y analizarlos.</w:t>
            </w:r>
            <w:r w:rsidR="0079578C">
              <w:rPr>
                <w:rFonts w:ascii="Times New Roman" w:eastAsia="Times New Roman" w:hAnsi="Times New Roman" w:cs="Times New Roman"/>
                <w:sz w:val="28"/>
                <w:szCs w:val="28"/>
              </w:rPr>
              <w:t xml:space="preserve"> </w:t>
            </w:r>
            <w:r w:rsidRPr="009C16F7">
              <w:rPr>
                <w:rFonts w:ascii="Times New Roman" w:eastAsia="Times New Roman" w:hAnsi="Times New Roman" w:cs="Times New Roman"/>
                <w:sz w:val="24"/>
                <w:szCs w:val="24"/>
              </w:rPr>
              <w:t>las prácticas sociales del lenguaje constituyen el eje central en la definición de los contenidos del programa pues permiten preservar las funciones y el valor que el lenguaje oral y escrito tiene fuera de la escuela.</w:t>
            </w:r>
          </w:p>
          <w:p w:rsidR="00ED0C84" w:rsidRDefault="00ED0C84" w:rsidP="009C16F7">
            <w:pPr>
              <w:spacing w:before="240" w:line="360" w:lineRule="auto"/>
              <w:jc w:val="both"/>
              <w:rPr>
                <w:rFonts w:ascii="Times New Roman" w:eastAsia="Times New Roman" w:hAnsi="Times New Roman" w:cs="Times New Roman"/>
                <w:sz w:val="28"/>
                <w:szCs w:val="28"/>
              </w:rPr>
            </w:pPr>
          </w:p>
        </w:tc>
        <w:tc>
          <w:tcPr>
            <w:tcW w:w="3120" w:type="dxa"/>
            <w:tcBorders>
              <w:top w:val="nil"/>
              <w:left w:val="nil"/>
              <w:bottom w:val="single" w:sz="8" w:space="0" w:color="FFFFFF"/>
              <w:right w:val="single" w:sz="8" w:space="0" w:color="FFFFFF"/>
            </w:tcBorders>
            <w:shd w:val="clear" w:color="auto" w:fill="F7CAAC"/>
            <w:tcMar>
              <w:top w:w="100" w:type="dxa"/>
              <w:left w:w="100" w:type="dxa"/>
              <w:bottom w:w="100" w:type="dxa"/>
              <w:right w:w="100" w:type="dxa"/>
            </w:tcMar>
          </w:tcPr>
          <w:p w:rsidR="00ED0C84" w:rsidRDefault="009C16F7" w:rsidP="0079578C">
            <w:pPr>
              <w:spacing w:before="240" w:line="360" w:lineRule="auto"/>
              <w:jc w:val="both"/>
              <w:rPr>
                <w:rFonts w:ascii="Times New Roman" w:eastAsia="Times New Roman" w:hAnsi="Times New Roman" w:cs="Times New Roman"/>
                <w:sz w:val="28"/>
                <w:szCs w:val="28"/>
              </w:rPr>
            </w:pPr>
            <w:r w:rsidRPr="009C16F7">
              <w:rPr>
                <w:rFonts w:ascii="Times New Roman" w:eastAsia="Times New Roman" w:hAnsi="Times New Roman" w:cs="Times New Roman"/>
                <w:sz w:val="24"/>
                <w:szCs w:val="24"/>
              </w:rPr>
              <w:lastRenderedPageBreak/>
              <w:t>Comprenden los diferentes modos de leer, interpretar, estudiar y compartir los textos, de aproximarse a su escritura y de participar en los intercambios orales y analizarlos. Es dentro de la esfera de su acción que los individuos aprenden a hablar e interactuar con los otros</w:t>
            </w:r>
            <w:r w:rsidRPr="009C16F7">
              <w:rPr>
                <w:rFonts w:ascii="Times New Roman" w:eastAsia="Times New Roman" w:hAnsi="Times New Roman" w:cs="Times New Roman"/>
                <w:sz w:val="28"/>
                <w:szCs w:val="28"/>
              </w:rPr>
              <w:t>.</w:t>
            </w:r>
            <w:r w:rsidR="0079578C">
              <w:rPr>
                <w:rFonts w:ascii="Times New Roman" w:eastAsia="Times New Roman" w:hAnsi="Times New Roman" w:cs="Times New Roman"/>
                <w:sz w:val="28"/>
                <w:szCs w:val="28"/>
              </w:rPr>
              <w:t xml:space="preserve"> </w:t>
            </w:r>
          </w:p>
        </w:tc>
      </w:tr>
      <w:tr w:rsidR="00ED0C84">
        <w:trPr>
          <w:trHeight w:val="1055"/>
        </w:trPr>
        <w:tc>
          <w:tcPr>
            <w:tcW w:w="2835" w:type="dxa"/>
            <w:tcBorders>
              <w:top w:val="nil"/>
              <w:left w:val="single" w:sz="8" w:space="0" w:color="FFFFFF"/>
              <w:bottom w:val="single" w:sz="8" w:space="0" w:color="FFFFFF"/>
              <w:right w:val="single" w:sz="8" w:space="0" w:color="FFFFFF"/>
            </w:tcBorders>
            <w:shd w:val="clear" w:color="auto" w:fill="ED7D31"/>
            <w:tcMar>
              <w:top w:w="100" w:type="dxa"/>
              <w:left w:w="100" w:type="dxa"/>
              <w:bottom w:w="100" w:type="dxa"/>
              <w:right w:w="100" w:type="dxa"/>
            </w:tcMar>
          </w:tcPr>
          <w:p w:rsidR="00ED0C84" w:rsidRDefault="0079578C">
            <w:pPr>
              <w:spacing w:before="240" w:line="360" w:lineRule="auto"/>
              <w:jc w:val="cente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lastRenderedPageBreak/>
              <w:t>Secretarìa de educaciòn pùblica.</w:t>
            </w:r>
          </w:p>
        </w:tc>
        <w:tc>
          <w:tcPr>
            <w:tcW w:w="2910" w:type="dxa"/>
            <w:tcBorders>
              <w:top w:val="nil"/>
              <w:left w:val="nil"/>
              <w:bottom w:val="single" w:sz="8" w:space="0" w:color="FFFFFF"/>
              <w:right w:val="single" w:sz="8" w:space="0" w:color="FFFFFF"/>
            </w:tcBorders>
            <w:shd w:val="clear" w:color="auto" w:fill="FBE4D5"/>
            <w:tcMar>
              <w:top w:w="100" w:type="dxa"/>
              <w:left w:w="100" w:type="dxa"/>
              <w:bottom w:w="100" w:type="dxa"/>
              <w:right w:w="100" w:type="dxa"/>
            </w:tcMar>
          </w:tcPr>
          <w:p w:rsidR="00ED0C84" w:rsidRDefault="0079578C">
            <w:pPr>
              <w:spacing w:before="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34491" w:rsidRPr="008660B9">
              <w:rPr>
                <w:rFonts w:ascii="Times New Roman" w:eastAsia="Times New Roman" w:hAnsi="Times New Roman" w:cs="Times New Roman"/>
                <w:sz w:val="24"/>
                <w:szCs w:val="24"/>
              </w:rPr>
              <w:t>L</w:t>
            </w:r>
            <w:r w:rsidR="00934491" w:rsidRPr="008660B9">
              <w:rPr>
                <w:rFonts w:ascii="Times New Roman" w:hAnsi="Times New Roman" w:cs="Times New Roman"/>
                <w:sz w:val="24"/>
                <w:szCs w:val="24"/>
              </w:rPr>
              <w:t>os estudiantes amplíen su capacidad de expresión y comprensión del lenguaje oral y escrito, lo usen para aprender y organizar su pensamiento, y puedan participar de manera reflexiva en las prácticas sociales del lenguaje del mundo contemporáneo.</w:t>
            </w:r>
            <w:r w:rsidR="00934491" w:rsidRPr="008660B9">
              <w:rPr>
                <w:rFonts w:ascii="Times New Roman" w:hAnsi="Times New Roman" w:cs="Times New Roman"/>
                <w:sz w:val="24"/>
                <w:szCs w:val="24"/>
              </w:rPr>
              <w:br/>
            </w:r>
            <w:r w:rsidR="00934491" w:rsidRPr="008660B9">
              <w:rPr>
                <w:rFonts w:ascii="Times New Roman" w:hAnsi="Times New Roman" w:cs="Times New Roman"/>
                <w:sz w:val="24"/>
                <w:szCs w:val="24"/>
              </w:rPr>
              <w:t>la asignatura deja de basarse en la enseñanza de nociones y se convierte en un espacio dedicado a apoyar la producción e interpretación de textos y la participación de los estudiantes en intercambios orales</w:t>
            </w:r>
            <w:r w:rsidR="00934491">
              <w:t>.</w:t>
            </w:r>
          </w:p>
        </w:tc>
        <w:tc>
          <w:tcPr>
            <w:tcW w:w="3120" w:type="dxa"/>
            <w:tcBorders>
              <w:top w:val="nil"/>
              <w:left w:val="nil"/>
              <w:bottom w:val="single" w:sz="8" w:space="0" w:color="FFFFFF"/>
              <w:right w:val="single" w:sz="8" w:space="0" w:color="FFFFFF"/>
            </w:tcBorders>
            <w:shd w:val="clear" w:color="auto" w:fill="FBE4D5"/>
            <w:tcMar>
              <w:top w:w="100" w:type="dxa"/>
              <w:left w:w="100" w:type="dxa"/>
              <w:bottom w:w="100" w:type="dxa"/>
              <w:right w:w="100" w:type="dxa"/>
            </w:tcMar>
          </w:tcPr>
          <w:p w:rsidR="00ED0C84" w:rsidRPr="008660B9" w:rsidRDefault="008660B9" w:rsidP="008660B9">
            <w:pPr>
              <w:spacing w:before="240" w:line="360" w:lineRule="auto"/>
              <w:rPr>
                <w:rFonts w:ascii="Times New Roman" w:hAnsi="Times New Roman" w:cs="Times New Roman"/>
              </w:rPr>
            </w:pPr>
            <w:r>
              <w:rPr>
                <w:rFonts w:ascii="Times New Roman" w:eastAsia="Times New Roman" w:hAnsi="Times New Roman" w:cs="Times New Roman"/>
                <w:sz w:val="28"/>
                <w:szCs w:val="28"/>
              </w:rPr>
              <w:t>L</w:t>
            </w:r>
            <w:r w:rsidR="00934491" w:rsidRPr="008660B9">
              <w:rPr>
                <w:rFonts w:ascii="Times New Roman" w:hAnsi="Times New Roman" w:cs="Times New Roman"/>
              </w:rPr>
              <w:t>as prácticas sociales del lenguaje constituyen el eje central en la definición de los contenidos del programa pues permiten preservar las funciones y el valor que el lenguaje oral y escrito tiene fuera de la escuela</w:t>
            </w:r>
            <w:r>
              <w:rPr>
                <w:rFonts w:ascii="Times New Roman" w:hAnsi="Times New Roman" w:cs="Times New Roman"/>
              </w:rPr>
              <w:t xml:space="preserve">, </w:t>
            </w:r>
            <w:r w:rsidR="00934491" w:rsidRPr="008660B9">
              <w:rPr>
                <w:rFonts w:ascii="Times New Roman" w:hAnsi="Times New Roman" w:cs="Times New Roman"/>
              </w:rPr>
              <w:t xml:space="preserve">permite reunir y secuenciar contenidos de diferente naturaleza en actividades socialmente </w:t>
            </w:r>
            <w:r>
              <w:rPr>
                <w:rFonts w:ascii="Times New Roman" w:hAnsi="Times New Roman" w:cs="Times New Roman"/>
              </w:rPr>
              <w:t xml:space="preserve">relevantes para los estudiantes; </w:t>
            </w:r>
            <w:r w:rsidRPr="008660B9">
              <w:rPr>
                <w:rFonts w:ascii="Times New Roman" w:hAnsi="Times New Roman" w:cs="Times New Roman"/>
              </w:rPr>
              <w:t>proporcionar herramientas para que los estudiantes alcancen una comprensión adecuada de las propiedades del lenguaje que se ponen de manifiesto en los textos y en la interacción oral</w:t>
            </w:r>
            <w:r w:rsidRPr="008660B9">
              <w:rPr>
                <w:rFonts w:ascii="Times New Roman" w:hAnsi="Times New Roman" w:cs="Times New Roman"/>
              </w:rPr>
              <w:br/>
            </w:r>
            <w:r w:rsidRPr="008660B9">
              <w:rPr>
                <w:rFonts w:ascii="Times New Roman" w:hAnsi="Times New Roman" w:cs="Times New Roman"/>
              </w:rPr>
              <w:t xml:space="preserve"> </w:t>
            </w:r>
            <w:r>
              <w:rPr>
                <w:rFonts w:ascii="Times New Roman" w:hAnsi="Times New Roman" w:cs="Times New Roman"/>
              </w:rPr>
              <w:t>de la palabra.</w:t>
            </w:r>
            <w:bookmarkStart w:id="0" w:name="_GoBack"/>
            <w:bookmarkEnd w:id="0"/>
          </w:p>
        </w:tc>
      </w:tr>
      <w:tr w:rsidR="00ED0C84">
        <w:trPr>
          <w:trHeight w:val="635"/>
        </w:trPr>
        <w:tc>
          <w:tcPr>
            <w:tcW w:w="2835" w:type="dxa"/>
            <w:tcBorders>
              <w:top w:val="nil"/>
              <w:left w:val="single" w:sz="8" w:space="0" w:color="FFFFFF"/>
              <w:bottom w:val="single" w:sz="8" w:space="0" w:color="FFFFFF"/>
              <w:right w:val="single" w:sz="8" w:space="0" w:color="FFFFFF"/>
            </w:tcBorders>
            <w:shd w:val="clear" w:color="auto" w:fill="ED7D31"/>
            <w:tcMar>
              <w:top w:w="100" w:type="dxa"/>
              <w:left w:w="100" w:type="dxa"/>
              <w:bottom w:w="100" w:type="dxa"/>
              <w:right w:w="100" w:type="dxa"/>
            </w:tcMar>
          </w:tcPr>
          <w:p w:rsidR="00ED0C84" w:rsidRDefault="00ED0C84">
            <w:pPr>
              <w:spacing w:before="240" w:line="360" w:lineRule="auto"/>
              <w:jc w:val="center"/>
              <w:rPr>
                <w:rFonts w:ascii="Times New Roman" w:eastAsia="Times New Roman" w:hAnsi="Times New Roman" w:cs="Times New Roman"/>
                <w:b/>
                <w:color w:val="FFFFFF"/>
                <w:sz w:val="28"/>
                <w:szCs w:val="28"/>
              </w:rPr>
            </w:pPr>
          </w:p>
          <w:p w:rsidR="00ED0C84" w:rsidRDefault="00ED0C84">
            <w:pPr>
              <w:spacing w:before="240" w:line="360" w:lineRule="auto"/>
              <w:jc w:val="center"/>
              <w:rPr>
                <w:rFonts w:ascii="Times New Roman" w:eastAsia="Times New Roman" w:hAnsi="Times New Roman" w:cs="Times New Roman"/>
                <w:b/>
                <w:color w:val="FFFFFF"/>
                <w:sz w:val="28"/>
                <w:szCs w:val="28"/>
              </w:rPr>
            </w:pPr>
          </w:p>
          <w:p w:rsidR="00ED0C84" w:rsidRDefault="00ED0C84">
            <w:pPr>
              <w:spacing w:before="240" w:line="360" w:lineRule="auto"/>
              <w:jc w:val="center"/>
              <w:rPr>
                <w:rFonts w:ascii="Times New Roman" w:eastAsia="Times New Roman" w:hAnsi="Times New Roman" w:cs="Times New Roman"/>
                <w:b/>
                <w:color w:val="FFFFFF"/>
                <w:sz w:val="28"/>
                <w:szCs w:val="28"/>
              </w:rPr>
            </w:pPr>
          </w:p>
          <w:p w:rsidR="00ED0C84" w:rsidRDefault="00ED0C84">
            <w:pPr>
              <w:spacing w:before="240" w:line="360" w:lineRule="auto"/>
              <w:jc w:val="center"/>
              <w:rPr>
                <w:rFonts w:ascii="Times New Roman" w:eastAsia="Times New Roman" w:hAnsi="Times New Roman" w:cs="Times New Roman"/>
                <w:b/>
                <w:color w:val="FFFFFF"/>
                <w:sz w:val="28"/>
                <w:szCs w:val="28"/>
              </w:rPr>
            </w:pPr>
          </w:p>
          <w:p w:rsidR="00ED0C84" w:rsidRDefault="0079578C">
            <w:pPr>
              <w:spacing w:before="240" w:line="360" w:lineRule="auto"/>
              <w:jc w:val="cente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Bautier</w:t>
            </w:r>
          </w:p>
        </w:tc>
        <w:tc>
          <w:tcPr>
            <w:tcW w:w="2910" w:type="dxa"/>
            <w:tcBorders>
              <w:top w:val="nil"/>
              <w:left w:val="nil"/>
              <w:bottom w:val="single" w:sz="8" w:space="0" w:color="FFFFFF"/>
              <w:right w:val="single" w:sz="8" w:space="0" w:color="FFFFFF"/>
            </w:tcBorders>
            <w:shd w:val="clear" w:color="auto" w:fill="F7CAAC"/>
            <w:tcMar>
              <w:top w:w="100" w:type="dxa"/>
              <w:left w:w="100" w:type="dxa"/>
              <w:bottom w:w="100" w:type="dxa"/>
              <w:right w:w="100" w:type="dxa"/>
            </w:tcMar>
          </w:tcPr>
          <w:p w:rsidR="00ED0C84" w:rsidRDefault="0079578C">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comprensión sobre cómo las prácticas del medio social y familiar permiten la entrada de los alumnos a las prácticas de la escuela, sus formas específicas de pensamiento, la diversidad de los fenómenos del lenguaje escolares o no y el </w:t>
            </w:r>
            <w:r>
              <w:rPr>
                <w:rFonts w:ascii="Times New Roman" w:eastAsia="Times New Roman" w:hAnsi="Times New Roman" w:cs="Times New Roman"/>
                <w:sz w:val="24"/>
                <w:szCs w:val="24"/>
              </w:rPr>
              <w:lastRenderedPageBreak/>
              <w:t>replanteamiento de los objetivos de la disciplina y de esa especificidad que permite “escolarizar” los saberes cotidianos de los estudiantes. En otras palabras, es posible establecer una coherencia entre contenidos de enseñanzas y prácticas de lenguaje que trasciendan la dimensión de objeto de enseñanza (considerar las prácticas solo desde su dimensión socio-lingüística) y se consideren desde su dimensión socio-educativa</w:t>
            </w:r>
          </w:p>
        </w:tc>
        <w:tc>
          <w:tcPr>
            <w:tcW w:w="3120" w:type="dxa"/>
            <w:tcBorders>
              <w:top w:val="nil"/>
              <w:left w:val="nil"/>
              <w:bottom w:val="single" w:sz="8" w:space="0" w:color="FFFFFF"/>
              <w:right w:val="single" w:sz="8" w:space="0" w:color="FFFFFF"/>
            </w:tcBorders>
            <w:shd w:val="clear" w:color="auto" w:fill="F7CAAC"/>
            <w:tcMar>
              <w:top w:w="100" w:type="dxa"/>
              <w:left w:w="100" w:type="dxa"/>
              <w:bottom w:w="100" w:type="dxa"/>
              <w:right w:w="100" w:type="dxa"/>
            </w:tcMar>
          </w:tcPr>
          <w:p w:rsidR="00ED0C84" w:rsidRDefault="0079578C">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Es la amplia naturaleza de las prácticas del lenguaje lo que permite al estudiante desempeñar los quehaceres de un lector, de un escritor o de un hablante. Por eso, las prácticas de lectura y escritura pueden relacionarse entre sí, mas no buscan el mismo propósito porque son </w:t>
            </w:r>
            <w:r>
              <w:rPr>
                <w:rFonts w:ascii="Times New Roman" w:eastAsia="Times New Roman" w:hAnsi="Times New Roman" w:cs="Times New Roman"/>
                <w:sz w:val="24"/>
                <w:szCs w:val="24"/>
              </w:rPr>
              <w:lastRenderedPageBreak/>
              <w:t xml:space="preserve">diferentes: se puede escribir para avanzar en la escritura y en la lectura y leer para avanzar en la lectura y en la escritura, pero el hecho de que escribir plantee problemas diferentes a los de leer implica entender que para cada problema se proponen prácticas diferentes, que cumplen diferentes propósitos. </w:t>
            </w:r>
          </w:p>
          <w:p w:rsidR="00ED0C84" w:rsidRDefault="0079578C">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 el tiempo aparece la lectura convencional y, entonces, la construcción de sus historias depende de las pistas que identifican sobre características de la escritura, por ejemplo, incluyen palabras cuyo inicio corresponde a aquellas letras que identifican y no otra</w:t>
            </w:r>
          </w:p>
          <w:p w:rsidR="00ED0C84" w:rsidRDefault="00ED0C84">
            <w:pPr>
              <w:spacing w:before="240" w:line="360" w:lineRule="auto"/>
              <w:rPr>
                <w:rFonts w:ascii="Times New Roman" w:eastAsia="Times New Roman" w:hAnsi="Times New Roman" w:cs="Times New Roman"/>
                <w:sz w:val="24"/>
                <w:szCs w:val="24"/>
              </w:rPr>
            </w:pPr>
          </w:p>
        </w:tc>
      </w:tr>
    </w:tbl>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D0C84" w:rsidRDefault="0079578C">
      <w:pPr>
        <w:spacing w:before="240" w:after="240"/>
        <w:jc w:val="center"/>
        <w:rPr>
          <w:b/>
        </w:rPr>
      </w:pPr>
      <w:r>
        <w:rPr>
          <w:b/>
        </w:rPr>
        <w:lastRenderedPageBreak/>
        <w:t>Referencias</w:t>
      </w:r>
    </w:p>
    <w:p w:rsidR="00ED0C84" w:rsidRDefault="0079578C">
      <w:pPr>
        <w:spacing w:before="240" w:after="240"/>
        <w:jc w:val="center"/>
      </w:pPr>
      <w:r>
        <w:t>· Zamudio, C. y Díaz, C. (2015) Prácticas sociales del lenguaje. En Español como segunda lengua, Libro para el maestro, Educación primaria indígena y de la población migrante.</w:t>
      </w:r>
    </w:p>
    <w:p w:rsidR="00ED0C84" w:rsidRDefault="0079578C">
      <w:pPr>
        <w:spacing w:before="240" w:after="240"/>
        <w:jc w:val="center"/>
      </w:pPr>
      <w:r>
        <w:t xml:space="preserve"> · Secretaría de Educación Pública (2006) Educación Básica. Secundaria. Español. Programas de Estudio 2006.</w:t>
      </w:r>
    </w:p>
    <w:p w:rsidR="00ED0C84" w:rsidRDefault="0079578C">
      <w:pPr>
        <w:spacing w:before="240" w:after="240"/>
        <w:jc w:val="center"/>
      </w:pPr>
      <w:r>
        <w:t xml:space="preserve"> · Bautier, E. y Bucheton, D. (1997) Les pratiques socio-langagières dans la classe de français? Quels enjeux? Quelles démarches? Repères.</w:t>
      </w:r>
    </w:p>
    <w:p w:rsidR="00ED0C84" w:rsidRDefault="00ED0C84"/>
    <w:sectPr w:rsidR="00ED0C8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84"/>
    <w:rsid w:val="0079578C"/>
    <w:rsid w:val="008660B9"/>
    <w:rsid w:val="00934491"/>
    <w:rsid w:val="009C16F7"/>
    <w:rsid w:val="00ED0C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F3FD8"/>
  <w15:docId w15:val="{3344FAD8-9173-479A-9575-713810F5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663</Words>
  <Characters>3647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Vargas</dc:creator>
  <cp:lastModifiedBy>NANCY</cp:lastModifiedBy>
  <cp:revision>4</cp:revision>
  <dcterms:created xsi:type="dcterms:W3CDTF">2021-03-18T00:23:00Z</dcterms:created>
  <dcterms:modified xsi:type="dcterms:W3CDTF">2021-03-18T00:58:00Z</dcterms:modified>
</cp:coreProperties>
</file>