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5958B" w14:textId="48C38295" w:rsidR="00817E99" w:rsidRDefault="004F3DF6">
      <w:r w:rsidRPr="004F3DF6">
        <w:rPr>
          <w:noProof/>
          <w:lang w:eastAsia="es-MX"/>
        </w:rPr>
        <w:drawing>
          <wp:anchor distT="0" distB="0" distL="114300" distR="114300" simplePos="0" relativeHeight="251660288" behindDoc="1" locked="0" layoutInCell="1" allowOverlap="1" wp14:anchorId="58CF2020" wp14:editId="090D2DD3">
            <wp:simplePos x="0" y="0"/>
            <wp:positionH relativeFrom="column">
              <wp:posOffset>-280035</wp:posOffset>
            </wp:positionH>
            <wp:positionV relativeFrom="paragraph">
              <wp:posOffset>-633095</wp:posOffset>
            </wp:positionV>
            <wp:extent cx="1857375" cy="13811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0" locked="0" layoutInCell="1" allowOverlap="1" wp14:anchorId="10727EDE" wp14:editId="06904D64">
                <wp:simplePos x="0" y="0"/>
                <wp:positionH relativeFrom="margin">
                  <wp:align>right</wp:align>
                </wp:positionH>
                <wp:positionV relativeFrom="paragraph">
                  <wp:posOffset>-699770</wp:posOffset>
                </wp:positionV>
                <wp:extent cx="4876800" cy="15430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876800" cy="1543050"/>
                        </a:xfrm>
                        <a:prstGeom prst="rect">
                          <a:avLst/>
                        </a:prstGeom>
                        <a:noFill/>
                        <a:ln w="6350">
                          <a:noFill/>
                        </a:ln>
                      </wps:spPr>
                      <wps:txbx>
                        <w:txbxContent>
                          <w:p w14:paraId="677BD032" w14:textId="26DF8D83" w:rsidR="004F3DF6" w:rsidRDefault="004F3DF6" w:rsidP="004F3DF6">
                            <w:pPr>
                              <w:jc w:val="center"/>
                              <w:rPr>
                                <w:rFonts w:ascii="Times New Roman" w:hAnsi="Times New Roman" w:cs="Times New Roman"/>
                                <w:sz w:val="44"/>
                                <w:szCs w:val="44"/>
                              </w:rPr>
                            </w:pPr>
                            <w:r>
                              <w:rPr>
                                <w:rFonts w:ascii="Times New Roman" w:hAnsi="Times New Roman" w:cs="Times New Roman"/>
                                <w:sz w:val="44"/>
                                <w:szCs w:val="44"/>
                              </w:rPr>
                              <w:t>ESCUELA NORMAL DE EDUCACIÓN PREESCOLAR</w:t>
                            </w:r>
                          </w:p>
                          <w:p w14:paraId="6944AFC8" w14:textId="0A23092E" w:rsidR="004F3DF6" w:rsidRDefault="004F3DF6" w:rsidP="004F3DF6">
                            <w:pPr>
                              <w:jc w:val="center"/>
                              <w:rPr>
                                <w:rFonts w:ascii="Times New Roman" w:hAnsi="Times New Roman" w:cs="Times New Roman"/>
                                <w:sz w:val="28"/>
                                <w:szCs w:val="28"/>
                              </w:rPr>
                            </w:pPr>
                            <w:r>
                              <w:rPr>
                                <w:rFonts w:ascii="Times New Roman" w:hAnsi="Times New Roman" w:cs="Times New Roman"/>
                                <w:sz w:val="28"/>
                                <w:szCs w:val="28"/>
                              </w:rPr>
                              <w:t>LICNCIATURA EN EDUCACIÓN PREESCOLAR</w:t>
                            </w:r>
                          </w:p>
                          <w:p w14:paraId="7D23E2BA" w14:textId="55009B75" w:rsidR="004F3DF6" w:rsidRPr="004F3DF6" w:rsidRDefault="004F3DF6" w:rsidP="004F3DF6">
                            <w:pPr>
                              <w:jc w:val="center"/>
                              <w:rPr>
                                <w:rFonts w:ascii="Times New Roman" w:hAnsi="Times New Roman" w:cs="Times New Roman"/>
                                <w:sz w:val="28"/>
                                <w:szCs w:val="28"/>
                              </w:rPr>
                            </w:pPr>
                            <w:r>
                              <w:rPr>
                                <w:rFonts w:ascii="Times New Roman" w:hAnsi="Times New Roman" w:cs="Times New Roman"/>
                                <w:sz w:val="28"/>
                                <w:szCs w:val="28"/>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727EDE" id="_x0000_t202" coordsize="21600,21600" o:spt="202" path="m,l,21600r21600,l21600,xe">
                <v:stroke joinstyle="miter"/>
                <v:path gradientshapeok="t" o:connecttype="rect"/>
              </v:shapetype>
              <v:shape id="Cuadro de texto 1" o:spid="_x0000_s1026" type="#_x0000_t202" style="position:absolute;margin-left:332.8pt;margin-top:-55.1pt;width:384pt;height:121.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" filled="f" stroked="f" strokeweight=".5pt">
                <v:textbox>
                  <w:txbxContent>
                    <w:p w14:paraId="677BD032" w14:textId="26DF8D83" w:rsidR="004F3DF6" w:rsidRDefault="004F3DF6" w:rsidP="004F3DF6">
                      <w:pPr>
                        <w:jc w:val="center"/>
                        <w:rPr>
                          <w:rFonts w:ascii="Times New Roman" w:hAnsi="Times New Roman" w:cs="Times New Roman"/>
                          <w:sz w:val="44"/>
                          <w:szCs w:val="44"/>
                        </w:rPr>
                      </w:pPr>
                      <w:r>
                        <w:rPr>
                          <w:rFonts w:ascii="Times New Roman" w:hAnsi="Times New Roman" w:cs="Times New Roman"/>
                          <w:sz w:val="44"/>
                          <w:szCs w:val="44"/>
                        </w:rPr>
                        <w:t>ESCUELA NORMAL DE EDUCACIÓN PREESCOLAR</w:t>
                      </w:r>
                    </w:p>
                    <w:p w14:paraId="6944AFC8" w14:textId="0A23092E" w:rsidR="004F3DF6" w:rsidRDefault="004F3DF6" w:rsidP="004F3DF6">
                      <w:pPr>
                        <w:jc w:val="center"/>
                        <w:rPr>
                          <w:rFonts w:ascii="Times New Roman" w:hAnsi="Times New Roman" w:cs="Times New Roman"/>
                          <w:sz w:val="28"/>
                          <w:szCs w:val="28"/>
                        </w:rPr>
                      </w:pPr>
                      <w:r>
                        <w:rPr>
                          <w:rFonts w:ascii="Times New Roman" w:hAnsi="Times New Roman" w:cs="Times New Roman"/>
                          <w:sz w:val="28"/>
                          <w:szCs w:val="28"/>
                        </w:rPr>
                        <w:t>LICNCIATURA EN EDUCACIÓN PREESCOLAR</w:t>
                      </w:r>
                    </w:p>
                    <w:p w14:paraId="7D23E2BA" w14:textId="55009B75" w:rsidR="004F3DF6" w:rsidRPr="004F3DF6" w:rsidRDefault="004F3DF6" w:rsidP="004F3DF6">
                      <w:pPr>
                        <w:jc w:val="center"/>
                        <w:rPr>
                          <w:rFonts w:ascii="Times New Roman" w:hAnsi="Times New Roman" w:cs="Times New Roman"/>
                          <w:sz w:val="28"/>
                          <w:szCs w:val="28"/>
                        </w:rPr>
                      </w:pPr>
                      <w:r>
                        <w:rPr>
                          <w:rFonts w:ascii="Times New Roman" w:hAnsi="Times New Roman" w:cs="Times New Roman"/>
                          <w:sz w:val="28"/>
                          <w:szCs w:val="28"/>
                        </w:rPr>
                        <w:t>CICLO ESCOLAR 2020-2021</w:t>
                      </w:r>
                    </w:p>
                  </w:txbxContent>
                </v:textbox>
                <w10:wrap anchorx="margin"/>
              </v:shape>
            </w:pict>
          </mc:Fallback>
        </mc:AlternateContent>
      </w:r>
    </w:p>
    <w:p w14:paraId="65DD5DD6" w14:textId="6D895660" w:rsidR="004F3DF6" w:rsidRDefault="004F3DF6"/>
    <w:p w14:paraId="73AA88D2" w14:textId="704FD10E" w:rsidR="004F3DF6" w:rsidRDefault="004F3DF6"/>
    <w:p w14:paraId="4113EE29" w14:textId="34A48046" w:rsidR="004F3DF6" w:rsidRDefault="004F3DF6"/>
    <w:p w14:paraId="25D9CE0E" w14:textId="2FC2B3A6" w:rsidR="004F3DF6" w:rsidRDefault="004F3DF6"/>
    <w:p w14:paraId="5B72A27F" w14:textId="25B79227" w:rsidR="004F3DF6" w:rsidRDefault="004F3DF6" w:rsidP="004F3DF6">
      <w:pPr>
        <w:jc w:val="center"/>
        <w:rPr>
          <w:rFonts w:ascii="Book Antiqua" w:hAnsi="Book Antiqua"/>
          <w:sz w:val="44"/>
          <w:szCs w:val="44"/>
        </w:rPr>
      </w:pPr>
      <w:r>
        <w:rPr>
          <w:rFonts w:ascii="Book Antiqua" w:hAnsi="Book Antiqua"/>
          <w:sz w:val="44"/>
          <w:szCs w:val="44"/>
        </w:rPr>
        <w:t xml:space="preserve">PRACTICAS SOCIALES DEL LENGUAJE </w:t>
      </w:r>
    </w:p>
    <w:p w14:paraId="0E6EABFA" w14:textId="7D3118ED" w:rsidR="004F3DF6" w:rsidRDefault="004F3DF6" w:rsidP="004F3DF6">
      <w:pPr>
        <w:jc w:val="center"/>
        <w:rPr>
          <w:rFonts w:ascii="Book Antiqua" w:hAnsi="Book Antiqua"/>
          <w:sz w:val="44"/>
          <w:szCs w:val="44"/>
          <w:u w:val="single"/>
        </w:rPr>
      </w:pPr>
      <w:r>
        <w:rPr>
          <w:rFonts w:ascii="Book Antiqua" w:hAnsi="Book Antiqua"/>
          <w:sz w:val="44"/>
          <w:szCs w:val="44"/>
        </w:rPr>
        <w:t>MTRA:</w:t>
      </w:r>
      <w:r>
        <w:rPr>
          <w:rFonts w:ascii="Book Antiqua" w:hAnsi="Book Antiqua"/>
          <w:sz w:val="44"/>
          <w:szCs w:val="44"/>
          <w:u w:val="single"/>
        </w:rPr>
        <w:t xml:space="preserve"> MARIA ELENA VILLARREAL</w:t>
      </w:r>
    </w:p>
    <w:p w14:paraId="5F964A03" w14:textId="51AA5AAF" w:rsidR="004F3DF6" w:rsidRPr="00EA17FD" w:rsidRDefault="00EA17FD" w:rsidP="004F3DF6">
      <w:pPr>
        <w:jc w:val="center"/>
        <w:rPr>
          <w:rFonts w:ascii="Book Antiqua" w:hAnsi="Book Antiqua"/>
          <w:b/>
          <w:bCs/>
          <w:sz w:val="44"/>
          <w:szCs w:val="44"/>
          <w:u w:val="single"/>
        </w:rPr>
      </w:pPr>
      <w:r>
        <w:rPr>
          <w:rFonts w:ascii="Book Antiqua" w:hAnsi="Book Antiqua"/>
          <w:b/>
          <w:bCs/>
          <w:noProof/>
          <w:sz w:val="44"/>
          <w:szCs w:val="44"/>
          <w:u w:val="single"/>
          <w:lang w:eastAsia="es-MX"/>
        </w:rPr>
        <mc:AlternateContent>
          <mc:Choice Requires="wps">
            <w:drawing>
              <wp:anchor distT="0" distB="0" distL="114300" distR="114300" simplePos="0" relativeHeight="251661312" behindDoc="0" locked="0" layoutInCell="1" allowOverlap="1" wp14:anchorId="0F65DEF8" wp14:editId="528FB4F3">
                <wp:simplePos x="0" y="0"/>
                <wp:positionH relativeFrom="margin">
                  <wp:align>center</wp:align>
                </wp:positionH>
                <wp:positionV relativeFrom="paragraph">
                  <wp:posOffset>318541</wp:posOffset>
                </wp:positionV>
                <wp:extent cx="6400421" cy="709930"/>
                <wp:effectExtent l="0" t="0" r="19685" b="13970"/>
                <wp:wrapNone/>
                <wp:docPr id="3" name="Rectángulo 3"/>
                <wp:cNvGraphicFramePr/>
                <a:graphic xmlns:a="http://schemas.openxmlformats.org/drawingml/2006/main">
                  <a:graphicData uri="http://schemas.microsoft.com/office/word/2010/wordprocessingShape">
                    <wps:wsp>
                      <wps:cNvSpPr/>
                      <wps:spPr>
                        <a:xfrm>
                          <a:off x="0" y="0"/>
                          <a:ext cx="6400421" cy="70993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0F64B0" id="Rectángulo 3" o:spid="_x0000_s1026" style="position:absolute;margin-left:0;margin-top:25.1pt;width:503.95pt;height:55.9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" filled="f" strokecolor="#0070c0" strokeweight="1pt">
                <w10:wrap anchorx="margin"/>
              </v:rect>
            </w:pict>
          </mc:Fallback>
        </mc:AlternateContent>
      </w:r>
    </w:p>
    <w:p w14:paraId="00A256A6" w14:textId="678C8A0E" w:rsidR="004F3DF6" w:rsidRPr="00EA17FD" w:rsidRDefault="004F3DF6" w:rsidP="00EA17FD">
      <w:pPr>
        <w:jc w:val="center"/>
        <w:rPr>
          <w:rFonts w:ascii="Arial Narrow" w:hAnsi="Arial Narrow"/>
          <w:b/>
          <w:bCs/>
          <w:sz w:val="44"/>
          <w:szCs w:val="44"/>
        </w:rPr>
      </w:pPr>
      <w:r w:rsidRPr="00EA17FD">
        <w:rPr>
          <w:rFonts w:ascii="Arial Narrow" w:hAnsi="Arial Narrow"/>
          <w:b/>
          <w:bCs/>
          <w:sz w:val="44"/>
          <w:szCs w:val="44"/>
        </w:rPr>
        <w:t>CUADRO DE AUTORES</w:t>
      </w:r>
    </w:p>
    <w:p w14:paraId="15991CDF" w14:textId="2DF54C10" w:rsidR="004F3DF6" w:rsidRDefault="004F3DF6" w:rsidP="004F3DF6">
      <w:pPr>
        <w:jc w:val="center"/>
        <w:rPr>
          <w:rFonts w:ascii="Arial Narrow" w:hAnsi="Arial Narrow"/>
          <w:sz w:val="44"/>
          <w:szCs w:val="44"/>
        </w:rPr>
      </w:pPr>
    </w:p>
    <w:p w14:paraId="3673CC5E" w14:textId="3355D265" w:rsidR="004F3DF6" w:rsidRPr="00EA17FD" w:rsidRDefault="004F3DF6" w:rsidP="004F3DF6">
      <w:pPr>
        <w:jc w:val="center"/>
        <w:rPr>
          <w:rFonts w:ascii="Book Antiqua" w:hAnsi="Book Antiqua"/>
          <w:sz w:val="28"/>
          <w:szCs w:val="28"/>
        </w:rPr>
      </w:pPr>
      <w:r w:rsidRPr="00EA17FD">
        <w:rPr>
          <w:rFonts w:ascii="Book Antiqua" w:hAnsi="Book Antiqua"/>
          <w:sz w:val="28"/>
          <w:szCs w:val="28"/>
        </w:rPr>
        <w:t xml:space="preserve">Propósitos: </w:t>
      </w:r>
    </w:p>
    <w:p w14:paraId="54D4DC6E" w14:textId="77777777" w:rsidR="00EA17FD" w:rsidRPr="00EA17FD" w:rsidRDefault="004F3DF6" w:rsidP="00EA17FD">
      <w:pPr>
        <w:pStyle w:val="Prrafodelista"/>
        <w:numPr>
          <w:ilvl w:val="0"/>
          <w:numId w:val="2"/>
        </w:numPr>
        <w:jc w:val="both"/>
        <w:rPr>
          <w:rFonts w:ascii="Book Antiqua" w:hAnsi="Book Antiqua"/>
          <w:sz w:val="28"/>
          <w:szCs w:val="28"/>
        </w:rPr>
      </w:pPr>
      <w:r w:rsidRPr="00EA17FD">
        <w:rPr>
          <w:rFonts w:ascii="Book Antiqua" w:hAnsi="Book Antiqua"/>
          <w:sz w:val="28"/>
          <w:szCs w:val="28"/>
        </w:rPr>
        <w:t>Analizarán la relación entre el enfoque pedagógico de los programas de lengua en educación básica (L1 y L2) y la necesidad de preparar a los alumnos para desenvolverse eficazmente en una diversidad de prácticas sociales igualmente diversos.</w:t>
      </w:r>
    </w:p>
    <w:p w14:paraId="7E754B9F" w14:textId="61D791A8" w:rsidR="004F3DF6" w:rsidRDefault="004F3DF6" w:rsidP="00EA17FD">
      <w:pPr>
        <w:pStyle w:val="Prrafodelista"/>
        <w:numPr>
          <w:ilvl w:val="0"/>
          <w:numId w:val="2"/>
        </w:numPr>
        <w:jc w:val="both"/>
        <w:rPr>
          <w:rFonts w:ascii="Book Antiqua" w:hAnsi="Book Antiqua"/>
          <w:sz w:val="28"/>
          <w:szCs w:val="28"/>
        </w:rPr>
      </w:pPr>
      <w:r w:rsidRPr="00EA17FD">
        <w:rPr>
          <w:rFonts w:ascii="Book Antiqua" w:hAnsi="Book Antiqua"/>
          <w:sz w:val="28"/>
          <w:szCs w:val="28"/>
        </w:rPr>
        <w:t>Redactarán textos que reflejen las habilidades, conocimientos y reflexiones desarrolladas a partir del análisis de situaciones específicas de comunicación</w:t>
      </w:r>
    </w:p>
    <w:p w14:paraId="25FBB2D3" w14:textId="4408057F" w:rsidR="00EA17FD" w:rsidRDefault="00EA17FD" w:rsidP="00EA17FD">
      <w:pPr>
        <w:pStyle w:val="Prrafodelista"/>
        <w:jc w:val="both"/>
        <w:rPr>
          <w:rFonts w:ascii="Book Antiqua" w:hAnsi="Book Antiqua"/>
          <w:sz w:val="28"/>
          <w:szCs w:val="28"/>
        </w:rPr>
      </w:pPr>
    </w:p>
    <w:p w14:paraId="32B12FEC" w14:textId="77777777" w:rsidR="00EA17FD" w:rsidRDefault="00EA17FD" w:rsidP="00EA17FD">
      <w:pPr>
        <w:pStyle w:val="Prrafodelista"/>
        <w:jc w:val="center"/>
        <w:rPr>
          <w:rFonts w:ascii="Times New Roman" w:hAnsi="Times New Roman" w:cs="Times New Roman"/>
          <w:sz w:val="40"/>
          <w:szCs w:val="40"/>
        </w:rPr>
      </w:pPr>
    </w:p>
    <w:p w14:paraId="02C79F80" w14:textId="5864EBA6" w:rsidR="00EA17FD" w:rsidRDefault="00EA17FD" w:rsidP="00EA17FD">
      <w:pPr>
        <w:pStyle w:val="Prrafodelista"/>
        <w:jc w:val="center"/>
        <w:rPr>
          <w:rFonts w:ascii="Times New Roman" w:hAnsi="Times New Roman" w:cs="Times New Roman"/>
          <w:sz w:val="40"/>
          <w:szCs w:val="40"/>
        </w:rPr>
      </w:pPr>
      <w:r>
        <w:rPr>
          <w:rFonts w:ascii="Times New Roman" w:hAnsi="Times New Roman" w:cs="Times New Roman"/>
          <w:sz w:val="40"/>
          <w:szCs w:val="40"/>
        </w:rPr>
        <w:t>MERITXELL GIL RODRIGUEZ #10</w:t>
      </w:r>
    </w:p>
    <w:p w14:paraId="60BDDF19" w14:textId="232B84C5" w:rsidR="00EA17FD" w:rsidRDefault="00EA17FD" w:rsidP="00EA17FD">
      <w:pPr>
        <w:pStyle w:val="Prrafodelista"/>
        <w:jc w:val="center"/>
        <w:rPr>
          <w:rFonts w:ascii="Times New Roman" w:hAnsi="Times New Roman" w:cs="Times New Roman"/>
          <w:sz w:val="40"/>
          <w:szCs w:val="40"/>
        </w:rPr>
      </w:pPr>
      <w:r>
        <w:rPr>
          <w:rFonts w:ascii="Times New Roman" w:hAnsi="Times New Roman" w:cs="Times New Roman"/>
          <w:sz w:val="40"/>
          <w:szCs w:val="40"/>
        </w:rPr>
        <w:t>MARIA DE LOS ANGELES GUEVARA #11</w:t>
      </w:r>
    </w:p>
    <w:p w14:paraId="57914C36" w14:textId="1B347F9B" w:rsidR="00EA17FD" w:rsidRDefault="00EA17FD" w:rsidP="00EA17FD">
      <w:pPr>
        <w:pStyle w:val="Prrafodelista"/>
        <w:jc w:val="center"/>
        <w:rPr>
          <w:rFonts w:ascii="Times New Roman" w:hAnsi="Times New Roman" w:cs="Times New Roman"/>
          <w:sz w:val="40"/>
          <w:szCs w:val="40"/>
        </w:rPr>
      </w:pPr>
      <w:r>
        <w:rPr>
          <w:rFonts w:ascii="Times New Roman" w:hAnsi="Times New Roman" w:cs="Times New Roman"/>
          <w:sz w:val="40"/>
          <w:szCs w:val="40"/>
        </w:rPr>
        <w:t>LUZ MARINA GUTIERRES #12</w:t>
      </w:r>
    </w:p>
    <w:p w14:paraId="481029F6" w14:textId="2F26953D" w:rsidR="00EA17FD" w:rsidRDefault="00EA17FD" w:rsidP="00EA17FD">
      <w:pPr>
        <w:pStyle w:val="Prrafodelista"/>
        <w:jc w:val="center"/>
        <w:rPr>
          <w:rFonts w:ascii="Times New Roman" w:hAnsi="Times New Roman" w:cs="Times New Roman"/>
          <w:sz w:val="40"/>
          <w:szCs w:val="40"/>
        </w:rPr>
      </w:pPr>
    </w:p>
    <w:p w14:paraId="76381AF3" w14:textId="74ED8DC6" w:rsidR="00EA17FD" w:rsidRPr="00EA17FD" w:rsidRDefault="00EA17FD" w:rsidP="00EA17FD">
      <w:pPr>
        <w:pStyle w:val="Prrafodelista"/>
        <w:jc w:val="center"/>
        <w:rPr>
          <w:rFonts w:ascii="Times New Roman" w:hAnsi="Times New Roman" w:cs="Times New Roman"/>
          <w:sz w:val="40"/>
          <w:szCs w:val="40"/>
        </w:rPr>
      </w:pPr>
      <w:r>
        <w:rPr>
          <w:rFonts w:ascii="Times New Roman" w:hAnsi="Times New Roman" w:cs="Times New Roman"/>
          <w:sz w:val="40"/>
          <w:szCs w:val="40"/>
        </w:rPr>
        <w:t>1D</w:t>
      </w:r>
    </w:p>
    <w:p w14:paraId="0CE1CAFE" w14:textId="4D351710" w:rsidR="004F3DF6" w:rsidRDefault="004F3DF6"/>
    <w:tbl>
      <w:tblPr>
        <w:tblStyle w:val="Tabladecuadrcula5oscura-nfasis5"/>
        <w:tblW w:w="0" w:type="auto"/>
        <w:tblLook w:val="04A0" w:firstRow="1" w:lastRow="0" w:firstColumn="1" w:lastColumn="0" w:noHBand="0" w:noVBand="1"/>
      </w:tblPr>
      <w:tblGrid>
        <w:gridCol w:w="2942"/>
        <w:gridCol w:w="2943"/>
        <w:gridCol w:w="2943"/>
      </w:tblGrid>
      <w:tr w:rsidR="00EA17FD" w14:paraId="13FDEB1B" w14:textId="77777777" w:rsidTr="00EA1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4F8A8B16" w14:textId="25F4F714" w:rsidR="00EA17FD" w:rsidRPr="00EA17FD" w:rsidRDefault="00EA17FD" w:rsidP="00EA17FD">
            <w:pPr>
              <w:jc w:val="center"/>
              <w:rPr>
                <w:sz w:val="32"/>
                <w:szCs w:val="32"/>
              </w:rPr>
            </w:pPr>
            <w:r>
              <w:rPr>
                <w:sz w:val="32"/>
                <w:szCs w:val="32"/>
              </w:rPr>
              <w:lastRenderedPageBreak/>
              <w:t>AUTOR</w:t>
            </w:r>
          </w:p>
        </w:tc>
        <w:tc>
          <w:tcPr>
            <w:tcW w:w="2943" w:type="dxa"/>
          </w:tcPr>
          <w:p w14:paraId="1106B28C" w14:textId="045CAD7E" w:rsidR="00EA17FD" w:rsidRPr="00EA17FD" w:rsidRDefault="00EA17FD" w:rsidP="00EA17FD">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CONCEPTO</w:t>
            </w:r>
          </w:p>
        </w:tc>
        <w:tc>
          <w:tcPr>
            <w:tcW w:w="2943" w:type="dxa"/>
          </w:tcPr>
          <w:p w14:paraId="48FC5962" w14:textId="41904486" w:rsidR="00EA17FD" w:rsidRPr="00EA17FD" w:rsidRDefault="00EA17FD" w:rsidP="00EA17FD">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CARACTERISTICAS</w:t>
            </w:r>
          </w:p>
        </w:tc>
      </w:tr>
      <w:tr w:rsidR="00EA17FD" w14:paraId="15E48D64" w14:textId="77777777" w:rsidTr="00EA1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0F3130DF" w14:textId="299A923D" w:rsidR="00EA17FD" w:rsidRPr="00EA17FD" w:rsidRDefault="00EA17FD" w:rsidP="00EA17FD">
            <w:pPr>
              <w:jc w:val="center"/>
              <w:rPr>
                <w:rFonts w:ascii="Arial Narrow" w:hAnsi="Arial Narrow"/>
                <w:b w:val="0"/>
                <w:bCs w:val="0"/>
                <w:sz w:val="28"/>
                <w:szCs w:val="28"/>
              </w:rPr>
            </w:pPr>
            <w:r>
              <w:rPr>
                <w:rFonts w:ascii="Arial Narrow" w:hAnsi="Arial Narrow"/>
                <w:b w:val="0"/>
                <w:bCs w:val="0"/>
                <w:sz w:val="28"/>
                <w:szCs w:val="28"/>
              </w:rPr>
              <w:t>BAUTIER, E Y BUCHETON, D</w:t>
            </w:r>
          </w:p>
        </w:tc>
        <w:tc>
          <w:tcPr>
            <w:tcW w:w="2943" w:type="dxa"/>
          </w:tcPr>
          <w:p w14:paraId="1F930980" w14:textId="7CE9AE9F" w:rsidR="00814DB3" w:rsidRPr="00814DB3" w:rsidRDefault="00814DB3" w:rsidP="00814DB3">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 xml:space="preserve">•Elisabeth </w:t>
            </w:r>
            <w:proofErr w:type="spellStart"/>
            <w:r w:rsidRPr="00814DB3">
              <w:rPr>
                <w:rFonts w:ascii="Arial Narrow" w:hAnsi="Arial Narrow"/>
                <w:sz w:val="24"/>
                <w:szCs w:val="24"/>
              </w:rPr>
              <w:t>Bautier</w:t>
            </w:r>
            <w:proofErr w:type="spellEnd"/>
            <w:r w:rsidRPr="00814DB3">
              <w:rPr>
                <w:rFonts w:ascii="Arial Narrow" w:hAnsi="Arial Narrow"/>
                <w:sz w:val="24"/>
                <w:szCs w:val="24"/>
              </w:rPr>
              <w:t xml:space="preserve"> (1997) una socióloga francesa, plantea que legitimar las prácticas de lenguaje como objeto de enseñanza es un modo de encarnar el proyecto de democratizar el acceso al conocimiento.</w:t>
            </w:r>
          </w:p>
          <w:p w14:paraId="66E03A88" w14:textId="39B248DD" w:rsidR="00814DB3" w:rsidRPr="00814DB3" w:rsidRDefault="00814DB3" w:rsidP="00814DB3">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•La noción de las practicas del lenguaje o de las practicas sociolingüística debe aportar un nuevo esclarecimiento a interrogantes, conflictos, etc.</w:t>
            </w:r>
          </w:p>
          <w:p w14:paraId="6D2C881E" w14:textId="5B3E4A2E" w:rsidR="00EA17FD" w:rsidRPr="00814DB3" w:rsidRDefault="00814DB3" w:rsidP="00814DB3">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•Puede también poner un poco de inteligibilidad a la gran diversidad, heterogeneidad de los fenómenos del lenguaje sean o no escolares. Su esclarecimiento posibilita objetivar y analizar el interés y los límites de las practicas innovadoras. De igual forma puede facilitar el otorgar una mayor coherencia a las prácticas y contenidos de la enseñanza del lenguaje.</w:t>
            </w:r>
          </w:p>
        </w:tc>
        <w:tc>
          <w:tcPr>
            <w:tcW w:w="2943" w:type="dxa"/>
          </w:tcPr>
          <w:p w14:paraId="2C954D04" w14:textId="72DBB8DC"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•Es posible establecer una coherencia entre contenidos de enseñanzas y prácticas de lenguaje que trasciendan la dimensión de objeto de enseñanza (considerar las prácticas solo desde su dimensión sociolingüística) y se consideren desde su dimensión socioeducativa (</w:t>
            </w:r>
            <w:proofErr w:type="spellStart"/>
            <w:r w:rsidRPr="00814DB3">
              <w:rPr>
                <w:rFonts w:ascii="Arial Narrow" w:hAnsi="Arial Narrow"/>
                <w:sz w:val="24"/>
                <w:szCs w:val="24"/>
              </w:rPr>
              <w:t>Bautier</w:t>
            </w:r>
            <w:proofErr w:type="spellEnd"/>
            <w:r w:rsidRPr="00814DB3">
              <w:rPr>
                <w:rFonts w:ascii="Arial Narrow" w:hAnsi="Arial Narrow"/>
                <w:sz w:val="24"/>
                <w:szCs w:val="24"/>
              </w:rPr>
              <w:t xml:space="preserve"> y </w:t>
            </w:r>
            <w:proofErr w:type="spellStart"/>
            <w:r w:rsidRPr="00814DB3">
              <w:rPr>
                <w:rFonts w:ascii="Arial Narrow" w:hAnsi="Arial Narrow"/>
                <w:sz w:val="24"/>
                <w:szCs w:val="24"/>
              </w:rPr>
              <w:t>Bucheton</w:t>
            </w:r>
            <w:proofErr w:type="spellEnd"/>
            <w:r w:rsidRPr="00814DB3">
              <w:rPr>
                <w:rFonts w:ascii="Arial Narrow" w:hAnsi="Arial Narrow"/>
                <w:sz w:val="24"/>
                <w:szCs w:val="24"/>
              </w:rPr>
              <w:t>, 1997).</w:t>
            </w:r>
          </w:p>
          <w:p w14:paraId="76B85284" w14:textId="1FB5539B"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•La noción de "prácticas del lenguaje" puede también poner un poco de inteligibilidad a la gran diversidad, heterogeneidad de los fenómenos del lenguaje, sean escolares o no escolares. Su esclarecimiento posibilita objetivar y analizar el interés y los límites de las prácticas innovadoras.</w:t>
            </w:r>
          </w:p>
          <w:p w14:paraId="18427769" w14:textId="5F607FA3"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 xml:space="preserve">•Comprender cómo las prácticas del lenguaje del medio social y familiar van a facilitar o no la entrada de los alumnos en las prácticas del lenguaje y las formas de pensamiento específicas de la escuela. Aquí no solamente se instala la cuestión del difícil pasaje para ciertos alumnos del </w:t>
            </w:r>
            <w:proofErr w:type="spellStart"/>
            <w:r w:rsidRPr="00814DB3">
              <w:rPr>
                <w:rFonts w:ascii="Arial Narrow" w:hAnsi="Arial Narrow"/>
                <w:sz w:val="24"/>
                <w:szCs w:val="24"/>
              </w:rPr>
              <w:t>habit</w:t>
            </w:r>
            <w:r>
              <w:rPr>
                <w:rFonts w:ascii="Arial Narrow" w:hAnsi="Arial Narrow"/>
                <w:sz w:val="24"/>
                <w:szCs w:val="24"/>
              </w:rPr>
              <w:t>o</w:t>
            </w:r>
            <w:proofErr w:type="spellEnd"/>
            <w:r w:rsidRPr="00814DB3">
              <w:rPr>
                <w:rFonts w:ascii="Arial Narrow" w:hAnsi="Arial Narrow"/>
                <w:sz w:val="24"/>
                <w:szCs w:val="24"/>
              </w:rPr>
              <w:t xml:space="preserve"> del lenguaje familiar al escolar, sino también la cuestión del sentido mismo de la escuela y del saber que estructuran esas prácticas del lenguaje familiares diversas.</w:t>
            </w:r>
          </w:p>
          <w:p w14:paraId="48EBA886" w14:textId="140D7825"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 xml:space="preserve">•Las prácticas del lenguaje trabajadas y objetivadas en la clase sirven para pensar, trabajar, pero también argumentar, comunicar, expresarse, construir un lugar, una identidad y eso en función </w:t>
            </w:r>
            <w:r w:rsidRPr="00814DB3">
              <w:rPr>
                <w:rFonts w:ascii="Arial Narrow" w:hAnsi="Arial Narrow"/>
                <w:sz w:val="24"/>
                <w:szCs w:val="24"/>
              </w:rPr>
              <w:lastRenderedPageBreak/>
              <w:t>de lo que está en juego en los niveles sociales y escolares subyacentes a toda práctica del lenguaje escolar.</w:t>
            </w:r>
          </w:p>
          <w:p w14:paraId="13ACEB0F" w14:textId="63C6D471"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•La enseñanza o de aprendizaje explícito, reposa entonces sobre una familiaridad adquirida (o no adquirida, allí está el problema) por los alumnos en esta práctica socio-lingüística que consiste en utilizar el lenguaje, las producciones de los pares, en particular, para aprender.</w:t>
            </w:r>
          </w:p>
          <w:p w14:paraId="6BC251C6" w14:textId="5DD0EB4F"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•Es corriente hacer conocer a los alumnos un cierto número de usos no escolares del lenguaje con una preocupación por el dominio de su producción: es así que los alumnos aprenden cómo escribir recetas de cocina, artículos de diario, cartas administrativas, afiches, comentarios de imágenes, historietas...</w:t>
            </w:r>
          </w:p>
          <w:p w14:paraId="18C80308" w14:textId="32E023FF"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•Se establece en el alumno una representación muy diferente de la producción lingüística, se trata de un lenguaje que tiene "juego", que deja la posibilidad de variaciones inherentes al funcionamiento del lenguaje, al juego sobre el modelo, a la invención en un espacio sin embargo restringido de reglas sociales e históricamente construidas.</w:t>
            </w:r>
          </w:p>
          <w:p w14:paraId="4C29052D" w14:textId="5BD1AF7F" w:rsidR="00814DB3"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•Es un riesgo para los alumnos enmascarar, un poco conscientemente, un poco voluntariamente, sin duda, las apuestas sociales, identitarias, culturales de esas prácticas.</w:t>
            </w:r>
          </w:p>
          <w:p w14:paraId="606ECE13" w14:textId="16468E61" w:rsidR="00EA17FD" w:rsidRPr="00814DB3" w:rsidRDefault="00814DB3" w:rsidP="00814DB3">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lastRenderedPageBreak/>
              <w:t>•Esto significa que un planteamiento de diversificación de los escritos aprendidos, producidos por los alumnos, incluso referidos a las situaciones sociales en las que esa diversificación es necesaria, no puede ser confundido con un planteamiento de diversificación de las prácticas de escritura.</w:t>
            </w:r>
          </w:p>
        </w:tc>
      </w:tr>
      <w:tr w:rsidR="00EA17FD" w14:paraId="54A36C90" w14:textId="77777777" w:rsidTr="00EA17FD">
        <w:tc>
          <w:tcPr>
            <w:cnfStyle w:val="001000000000" w:firstRow="0" w:lastRow="0" w:firstColumn="1" w:lastColumn="0" w:oddVBand="0" w:evenVBand="0" w:oddHBand="0" w:evenHBand="0" w:firstRowFirstColumn="0" w:firstRowLastColumn="0" w:lastRowFirstColumn="0" w:lastRowLastColumn="0"/>
            <w:tcW w:w="2942" w:type="dxa"/>
          </w:tcPr>
          <w:p w14:paraId="7C10EAAC" w14:textId="37EB189C" w:rsidR="00EA17FD" w:rsidRPr="00814DB3" w:rsidRDefault="00814DB3" w:rsidP="00814DB3">
            <w:pPr>
              <w:jc w:val="center"/>
              <w:rPr>
                <w:rFonts w:ascii="Arial Narrow" w:hAnsi="Arial Narrow"/>
                <w:b w:val="0"/>
                <w:bCs w:val="0"/>
                <w:sz w:val="32"/>
                <w:szCs w:val="32"/>
              </w:rPr>
            </w:pPr>
            <w:r w:rsidRPr="00814DB3">
              <w:rPr>
                <w:rFonts w:ascii="Arial Narrow" w:hAnsi="Arial Narrow"/>
                <w:b w:val="0"/>
                <w:bCs w:val="0"/>
                <w:sz w:val="28"/>
                <w:szCs w:val="28"/>
              </w:rPr>
              <w:lastRenderedPageBreak/>
              <w:t>SECRETARIA DE EDUCACIÓN PUBLICA.</w:t>
            </w:r>
          </w:p>
        </w:tc>
        <w:tc>
          <w:tcPr>
            <w:tcW w:w="2943" w:type="dxa"/>
          </w:tcPr>
          <w:p w14:paraId="3007D547" w14:textId="641AB1DD" w:rsidR="00EA17FD" w:rsidRPr="00814DB3" w:rsidRDefault="00814DB3" w:rsidP="00814DB3">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w:t>
            </w:r>
            <w:r w:rsidR="00D45E99">
              <w:rPr>
                <w:rFonts w:ascii="Arial Narrow" w:hAnsi="Arial Narrow"/>
                <w:sz w:val="24"/>
                <w:szCs w:val="24"/>
              </w:rPr>
              <w:t xml:space="preserve">Es una de las secretarias encargadas de la educación en todos los niveles, asi como de los contenidos, programas y calendarios. Además, se encarga de la manutención de la cultura y sus centros de exhibición (museos, escuelas y escuelas de arte) y tiene en du control los registros de derecho de autor y varias marcas registradas. </w:t>
            </w:r>
          </w:p>
        </w:tc>
        <w:tc>
          <w:tcPr>
            <w:tcW w:w="2943" w:type="dxa"/>
          </w:tcPr>
          <w:p w14:paraId="13B5038F" w14:textId="77777777" w:rsidR="00EA17FD" w:rsidRDefault="00D45E99">
            <w:pPr>
              <w:cnfStyle w:val="000000000000" w:firstRow="0" w:lastRow="0" w:firstColumn="0" w:lastColumn="0" w:oddVBand="0" w:evenVBand="0" w:oddHBand="0" w:evenHBand="0" w:firstRowFirstColumn="0" w:firstRowLastColumn="0" w:lastRowFirstColumn="0" w:lastRowLastColumn="0"/>
            </w:pPr>
            <w:r w:rsidRPr="00D45E99">
              <w:t>•</w:t>
            </w:r>
            <w:r>
              <w:t>Tiene como propósito el crear condiciones que permitan asegurar el acceso d todos los mexicanos a una educación d calidad por cada nivel y modalidad.</w:t>
            </w:r>
          </w:p>
          <w:p w14:paraId="59955E14" w14:textId="77777777" w:rsidR="00D45E99" w:rsidRDefault="00D45E99">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45E99">
              <w:rPr>
                <w:rFonts w:ascii="Arial Narrow" w:hAnsi="Arial Narrow"/>
                <w:sz w:val="24"/>
                <w:szCs w:val="24"/>
              </w:rPr>
              <w:t>•</w:t>
            </w:r>
            <w:r>
              <w:rPr>
                <w:rFonts w:ascii="Arial Narrow" w:hAnsi="Arial Narrow"/>
                <w:sz w:val="24"/>
                <w:szCs w:val="24"/>
              </w:rPr>
              <w:t>Primera de las secretarias que integra el gabinete legal del estado.</w:t>
            </w:r>
          </w:p>
          <w:p w14:paraId="3B284A32" w14:textId="77777777" w:rsidR="00D45E99" w:rsidRDefault="00D45E99">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 </w:t>
            </w:r>
            <w:r w:rsidRPr="00D45E99">
              <w:rPr>
                <w:rFonts w:ascii="Arial Narrow" w:hAnsi="Arial Narrow"/>
                <w:sz w:val="24"/>
                <w:szCs w:val="24"/>
              </w:rPr>
              <w:t>•</w:t>
            </w:r>
            <w:r w:rsidR="0044683F">
              <w:rPr>
                <w:rFonts w:ascii="Arial Narrow" w:hAnsi="Arial Narrow"/>
                <w:sz w:val="24"/>
                <w:szCs w:val="24"/>
              </w:rPr>
              <w:t>Su función es ejecutar y coordinar las practicas publicas en relacion a la educación.</w:t>
            </w:r>
          </w:p>
          <w:p w14:paraId="01ABCE29" w14:textId="31708516"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44683F">
              <w:rPr>
                <w:rFonts w:ascii="Arial Narrow" w:hAnsi="Arial Narrow"/>
                <w:sz w:val="24"/>
                <w:szCs w:val="24"/>
              </w:rPr>
              <w:t>•</w:t>
            </w:r>
            <w:r>
              <w:rPr>
                <w:rFonts w:ascii="Arial Narrow" w:hAnsi="Arial Narrow"/>
                <w:sz w:val="24"/>
                <w:szCs w:val="24"/>
              </w:rPr>
              <w:t>Tiene como responsabilidad que todo tenga conformidad con los principios y lineamientos del artículo 3°</w:t>
            </w:r>
          </w:p>
          <w:p w14:paraId="44B36526" w14:textId="1223E8EE"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44683F">
              <w:rPr>
                <w:rFonts w:ascii="Arial Narrow" w:hAnsi="Arial Narrow"/>
                <w:sz w:val="24"/>
                <w:szCs w:val="24"/>
              </w:rPr>
              <w:t>•</w:t>
            </w:r>
            <w:r>
              <w:rPr>
                <w:rFonts w:ascii="Arial Narrow" w:hAnsi="Arial Narrow"/>
                <w:sz w:val="24"/>
                <w:szCs w:val="24"/>
              </w:rPr>
              <w:t>Fomenta las áreas de la educación artística, deportiva, cultural, expresión y apreciación de bellas artes</w:t>
            </w:r>
          </w:p>
          <w:p w14:paraId="3E387842" w14:textId="78C80C28"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44683F">
              <w:rPr>
                <w:rFonts w:ascii="Arial Narrow" w:hAnsi="Arial Narrow"/>
                <w:sz w:val="24"/>
                <w:szCs w:val="24"/>
              </w:rPr>
              <w:t>•</w:t>
            </w:r>
            <w:r>
              <w:rPr>
                <w:rFonts w:ascii="Arial Narrow" w:hAnsi="Arial Narrow"/>
                <w:sz w:val="24"/>
                <w:szCs w:val="24"/>
              </w:rPr>
              <w:t xml:space="preserve">Desarrolla la educación artística </w:t>
            </w:r>
            <w:r w:rsidR="00523218">
              <w:rPr>
                <w:rFonts w:ascii="Arial Narrow" w:hAnsi="Arial Narrow"/>
                <w:sz w:val="24"/>
                <w:szCs w:val="24"/>
              </w:rPr>
              <w:t>para la práctica de expresiones y apreciación de bellas artes.</w:t>
            </w:r>
          </w:p>
          <w:p w14:paraId="6D86F1B3" w14:textId="2F1A4F5E"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w:t>
            </w:r>
            <w:r w:rsidR="00523218">
              <w:rPr>
                <w:rFonts w:ascii="Arial Narrow" w:hAnsi="Arial Narrow"/>
                <w:sz w:val="24"/>
                <w:szCs w:val="24"/>
              </w:rPr>
              <w:t>Está encargada de organizar las escuelas.</w:t>
            </w:r>
          </w:p>
          <w:p w14:paraId="41C5C6C1" w14:textId="54CA5840" w:rsidR="0044683F"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814DB3">
              <w:rPr>
                <w:rFonts w:ascii="Arial Narrow" w:hAnsi="Arial Narrow"/>
                <w:sz w:val="24"/>
                <w:szCs w:val="24"/>
              </w:rPr>
              <w:t>•</w:t>
            </w:r>
            <w:r w:rsidR="00523218">
              <w:rPr>
                <w:rFonts w:ascii="Arial Narrow" w:hAnsi="Arial Narrow"/>
                <w:sz w:val="24"/>
                <w:szCs w:val="24"/>
              </w:rPr>
              <w:t>Observa que todo sea cumplido con las disposiciones relacionadas con la educación.</w:t>
            </w:r>
          </w:p>
          <w:p w14:paraId="378DC3F5" w14:textId="6B4D39A4" w:rsidR="0044683F" w:rsidRPr="00D45E99" w:rsidRDefault="0044683F">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EA17FD" w14:paraId="4118FE4A" w14:textId="77777777" w:rsidTr="00EA1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1C88B2FF" w14:textId="752D6D47" w:rsidR="00EA17FD" w:rsidRDefault="008D2FDF">
            <w:r w:rsidRPr="008D2FDF">
              <w:rPr>
                <w:sz w:val="28"/>
              </w:rPr>
              <w:t>Zamudio</w:t>
            </w:r>
          </w:p>
        </w:tc>
        <w:tc>
          <w:tcPr>
            <w:tcW w:w="2943" w:type="dxa"/>
          </w:tcPr>
          <w:p w14:paraId="43479C94" w14:textId="10C05AF1" w:rsidR="00EA17FD" w:rsidRDefault="008D2FDF">
            <w:pPr>
              <w:cnfStyle w:val="000000100000" w:firstRow="0" w:lastRow="0" w:firstColumn="0" w:lastColumn="0" w:oddVBand="0" w:evenVBand="0" w:oddHBand="1" w:evenHBand="0" w:firstRowFirstColumn="0" w:firstRowLastColumn="0" w:lastRowFirstColumn="0" w:lastRowLastColumn="0"/>
            </w:pPr>
            <w:r>
              <w:t xml:space="preserve">EL escritor nos hace entender la importancia que tiene el poder incluir las lenguas indígenas y la </w:t>
            </w:r>
            <w:proofErr w:type="spellStart"/>
            <w:r>
              <w:t>educaicón</w:t>
            </w:r>
            <w:proofErr w:type="spellEnd"/>
            <w:r>
              <w:t xml:space="preserve"> rural </w:t>
            </w:r>
            <w:r>
              <w:lastRenderedPageBreak/>
              <w:t>en lo presente, y el cómo hacerlo de manera orgánica, dando a conocer planes y estrategias pedagógicas.</w:t>
            </w:r>
          </w:p>
        </w:tc>
        <w:tc>
          <w:tcPr>
            <w:tcW w:w="2943" w:type="dxa"/>
          </w:tcPr>
          <w:p w14:paraId="74C73DE9" w14:textId="77777777" w:rsidR="003123D1" w:rsidRDefault="003123D1" w:rsidP="003123D1">
            <w:pPr>
              <w:cnfStyle w:val="000000100000" w:firstRow="0" w:lastRow="0" w:firstColumn="0" w:lastColumn="0" w:oddVBand="0" w:evenVBand="0" w:oddHBand="1" w:evenHBand="0" w:firstRowFirstColumn="0" w:firstRowLastColumn="0" w:lastRowFirstColumn="0" w:lastRowLastColumn="0"/>
              <w:rPr>
                <w:rFonts w:ascii="dejavusans" w:eastAsia="Times New Roman" w:hAnsi="dejavusans"/>
                <w:sz w:val="24"/>
                <w:szCs w:val="24"/>
              </w:rPr>
            </w:pPr>
            <w:r>
              <w:rPr>
                <w:rFonts w:ascii="dejavusans" w:eastAsia="Times New Roman" w:hAnsi="dejavusans"/>
                <w:sz w:val="24"/>
                <w:szCs w:val="24"/>
              </w:rPr>
              <w:lastRenderedPageBreak/>
              <w:t xml:space="preserve">El estudio sistemático del español como segunda lengua es una condición indispensable para </w:t>
            </w:r>
            <w:r>
              <w:rPr>
                <w:rFonts w:ascii="dejavusans" w:eastAsia="Times New Roman" w:hAnsi="dejavusans"/>
                <w:sz w:val="24"/>
                <w:szCs w:val="24"/>
              </w:rPr>
              <w:lastRenderedPageBreak/>
              <w:t xml:space="preserve">fortalecer el desempeño escolar de las niñas y los niños indígenas, y así facilitar su acceso a los niveles educativos superiores. </w:t>
            </w:r>
          </w:p>
          <w:p w14:paraId="1A9F0E9B" w14:textId="77777777" w:rsidR="003123D1" w:rsidRDefault="003123D1" w:rsidP="003123D1">
            <w:pPr>
              <w:cnfStyle w:val="000000100000" w:firstRow="0" w:lastRow="0" w:firstColumn="0" w:lastColumn="0" w:oddVBand="0" w:evenVBand="0" w:oddHBand="1" w:evenHBand="0" w:firstRowFirstColumn="0" w:firstRowLastColumn="0" w:lastRowFirstColumn="0" w:lastRowLastColumn="0"/>
              <w:rPr>
                <w:rFonts w:ascii="dejavusans" w:eastAsia="Times New Roman" w:hAnsi="dejavusans"/>
                <w:sz w:val="24"/>
                <w:szCs w:val="24"/>
              </w:rPr>
            </w:pPr>
            <w:r>
              <w:rPr>
                <w:rFonts w:ascii="dejavusans" w:eastAsia="Times New Roman" w:hAnsi="dejavusans"/>
                <w:sz w:val="24"/>
                <w:szCs w:val="24"/>
              </w:rPr>
              <w:br/>
              <w:t xml:space="preserve">Dicho estudio no puede hacer a un lado la complejidad funcional del español ni las condiciones socioculturales que la suscitan. </w:t>
            </w:r>
          </w:p>
          <w:p w14:paraId="630006A1" w14:textId="77777777" w:rsidR="003123D1" w:rsidRDefault="003123D1" w:rsidP="003123D1">
            <w:pPr>
              <w:cnfStyle w:val="000000100000" w:firstRow="0" w:lastRow="0" w:firstColumn="0" w:lastColumn="0" w:oddVBand="0" w:evenVBand="0" w:oddHBand="1" w:evenHBand="0" w:firstRowFirstColumn="0" w:firstRowLastColumn="0" w:lastRowFirstColumn="0" w:lastRowLastColumn="0"/>
              <w:rPr>
                <w:rFonts w:ascii="dejavusans" w:eastAsia="Times New Roman" w:hAnsi="dejavusans"/>
                <w:sz w:val="24"/>
                <w:szCs w:val="24"/>
              </w:rPr>
            </w:pPr>
            <w:r>
              <w:rPr>
                <w:rFonts w:ascii="dejavusans" w:eastAsia="Times New Roman" w:hAnsi="dejavusans"/>
                <w:sz w:val="24"/>
                <w:szCs w:val="24"/>
              </w:rPr>
              <w:br/>
              <w:t xml:space="preserve">De ahí que la enseñanza del español como segunda lengua deba orientarse hacia la producción contextualizada del lenguaje tanto oral, como escrito; </w:t>
            </w:r>
          </w:p>
          <w:p w14:paraId="130B42C8" w14:textId="77777777" w:rsidR="003123D1" w:rsidRDefault="003123D1" w:rsidP="003123D1">
            <w:pPr>
              <w:cnfStyle w:val="000000100000" w:firstRow="0" w:lastRow="0" w:firstColumn="0" w:lastColumn="0" w:oddVBand="0" w:evenVBand="0" w:oddHBand="1" w:evenHBand="0" w:firstRowFirstColumn="0" w:firstRowLastColumn="0" w:lastRowFirstColumn="0" w:lastRowLastColumn="0"/>
              <w:rPr>
                <w:rFonts w:ascii="dejavusans" w:eastAsia="Times New Roman" w:hAnsi="dejavusans"/>
                <w:sz w:val="24"/>
                <w:szCs w:val="24"/>
              </w:rPr>
            </w:pPr>
            <w:r>
              <w:rPr>
                <w:rFonts w:ascii="dejavusans" w:eastAsia="Times New Roman" w:hAnsi="dejavusans"/>
                <w:sz w:val="24"/>
                <w:szCs w:val="24"/>
              </w:rPr>
              <w:br/>
              <w:t xml:space="preserve">el aprendizaje de los diferentes modos de leer, interpretar y escribir los textos, y hacia la familiarización con los géneros textuales y soportes gráficos de mayor circulación en el mundo cultural en que se inserta el idioma español. </w:t>
            </w:r>
            <w:r>
              <w:rPr>
                <w:rFonts w:ascii="dejavusans" w:eastAsia="Times New Roman" w:hAnsi="dejavusans"/>
                <w:sz w:val="24"/>
                <w:szCs w:val="24"/>
              </w:rPr>
              <w:br/>
            </w:r>
            <w:r>
              <w:rPr>
                <w:rFonts w:ascii="dejavusans" w:eastAsia="Times New Roman" w:hAnsi="dejavusans"/>
                <w:sz w:val="24"/>
                <w:szCs w:val="24"/>
              </w:rPr>
              <w:br/>
            </w:r>
            <w:r>
              <w:rPr>
                <w:rFonts w:ascii="dejavusans" w:eastAsia="Times New Roman" w:hAnsi="dejavusans"/>
                <w:sz w:val="24"/>
                <w:szCs w:val="24"/>
              </w:rPr>
              <w:br/>
              <w:t xml:space="preserve">Los proyectos didácticos son estrategias que sirven para organizar el tiempo escolar y permiten integrar los contenidos de un programa de manera articulada. </w:t>
            </w:r>
          </w:p>
          <w:p w14:paraId="2D4EBF98" w14:textId="77777777" w:rsidR="00EA17FD" w:rsidRDefault="00EA17FD">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bl>
    <w:p w14:paraId="08C2A1C6" w14:textId="2DC4DE0E" w:rsidR="004F3DF6" w:rsidRDefault="004F3DF6"/>
    <w:p w14:paraId="7487909B" w14:textId="0FC37C21" w:rsidR="004F3DF6" w:rsidRDefault="004F3DF6"/>
    <w:p w14:paraId="597DAE2A" w14:textId="458F7998" w:rsidR="004F3DF6" w:rsidRDefault="004F3DF6"/>
    <w:p w14:paraId="2C388B1F" w14:textId="103DE202" w:rsidR="004F3DF6" w:rsidRDefault="004F3DF6"/>
    <w:p w14:paraId="31140D9E" w14:textId="695B2449" w:rsidR="004F3DF6" w:rsidRDefault="004F3DF6"/>
    <w:p w14:paraId="688C0612" w14:textId="77777777" w:rsidR="004F3DF6" w:rsidRDefault="004F3DF6"/>
    <w:sectPr w:rsidR="004F3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25FA"/>
    <w:multiLevelType w:val="hybridMultilevel"/>
    <w:tmpl w:val="458EC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517CF7"/>
    <w:multiLevelType w:val="hybridMultilevel"/>
    <w:tmpl w:val="BD6A2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4B209C"/>
    <w:multiLevelType w:val="hybridMultilevel"/>
    <w:tmpl w:val="53FA3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F6"/>
    <w:rsid w:val="003123D1"/>
    <w:rsid w:val="0044683F"/>
    <w:rsid w:val="004F3DF6"/>
    <w:rsid w:val="00523218"/>
    <w:rsid w:val="00814DB3"/>
    <w:rsid w:val="00817E99"/>
    <w:rsid w:val="008D2FDF"/>
    <w:rsid w:val="00D45E99"/>
    <w:rsid w:val="00EA1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A6D"/>
  <w15:chartTrackingRefBased/>
  <w15:docId w15:val="{7EAD8D51-0518-47C8-97F0-A4F5CC4A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17FD"/>
    <w:pPr>
      <w:ind w:left="720"/>
      <w:contextualSpacing/>
    </w:pPr>
  </w:style>
  <w:style w:type="table" w:styleId="Tablaconcuadrcula">
    <w:name w:val="Table Grid"/>
    <w:basedOn w:val="Tablanormal"/>
    <w:uiPriority w:val="39"/>
    <w:rsid w:val="00EA1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5">
    <w:name w:val="Grid Table 5 Dark Accent 5"/>
    <w:basedOn w:val="Tablanormal"/>
    <w:uiPriority w:val="50"/>
    <w:rsid w:val="00EA1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978</Words>
  <Characters>5380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Luz Gutierrez</cp:lastModifiedBy>
  <cp:revision>2</cp:revision>
  <dcterms:created xsi:type="dcterms:W3CDTF">2021-03-15T01:35:00Z</dcterms:created>
  <dcterms:modified xsi:type="dcterms:W3CDTF">2021-03-17T00:31:00Z</dcterms:modified>
</cp:coreProperties>
</file>