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759A" w14:textId="77777777" w:rsid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7DD9B7BB" w:rsidR="00C86373" w:rsidRPr="00FB5DAC" w:rsidRDefault="00C86373" w:rsidP="00FB5DAC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2992B491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7C25E1F5">
            <wp:simplePos x="0" y="0"/>
            <wp:positionH relativeFrom="margin">
              <wp:align>center</wp:align>
            </wp:positionH>
            <wp:positionV relativeFrom="margin">
              <wp:posOffset>849630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1FF232C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A98BADD" w14:textId="78419DA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FB5DAC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5ACF6899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Trabajo docente y proyectos de mejora escolar</w:t>
      </w:r>
    </w:p>
    <w:p w14:paraId="2786331D" w14:textId="57E84F15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5BCD638B" w:rsidR="00C86373" w:rsidRPr="00EA0A32" w:rsidRDefault="00FB5DAC" w:rsidP="00FB5DAC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Fabiola Valero Torres</w:t>
      </w:r>
      <w:r w:rsidR="006628D5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2141FDE" w14:textId="77777777" w:rsidR="00C86373" w:rsidRPr="00EA0A32" w:rsidRDefault="00C86373" w:rsidP="00FB5DAC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FB5DA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1267B149" w14:textId="48A26033" w:rsidR="00C86373" w:rsidRPr="00EA0A32" w:rsidRDefault="00C86373" w:rsidP="00FB5DA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267D0D94" w14:textId="1D327D34" w:rsidR="00EA0A32" w:rsidRPr="00EA0A32" w:rsidRDefault="00FB5DAC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Infografía “Lecciones Aprendidas”</w:t>
      </w:r>
    </w:p>
    <w:p w14:paraId="031FBF06" w14:textId="1C050668" w:rsidR="000E0C0A" w:rsidRDefault="00EA0A32" w:rsidP="00FB5DA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Unidad de aprendizaje I: </w:t>
      </w:r>
      <w:r w:rsidR="00FB5DA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Desafíos en torno a la incompletud de la formación inicial de docentes en el marco de proyectos de innovación </w:t>
      </w:r>
      <w:r w:rsidR="00A76197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pedagógica: las lecciones aprendidas. </w:t>
      </w:r>
    </w:p>
    <w:p w14:paraId="5B74D39C" w14:textId="488AC2B9" w:rsidR="00EA0A32" w:rsidRDefault="00BB25DD" w:rsidP="00FB5DAC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2C429DE7" w14:textId="2C56BB4C" w:rsidR="00366260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Plantea las necesidades formativas de los alumnos de acuerdo con sus procesos de desarrollo y de aprendizaje, con base en los nuevos enfoques pedagógicos. </w:t>
      </w:r>
    </w:p>
    <w:p w14:paraId="165C2F73" w14:textId="5418C9EA" w:rsidR="00A76197" w:rsidRDefault="00A76197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Establece relaciones entre los principios, conceptos disciplinarios y contenidos del plan y programas de estudio en función del logro de aprendizaje de sus alumnos, </w:t>
      </w:r>
      <w:r w:rsidR="00181268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asegurando la coherencia y continuidad entre los distintos grados y niveles educativos. </w:t>
      </w:r>
    </w:p>
    <w:p w14:paraId="560706A0" w14:textId="60C59535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16F9F90F" w14:textId="78D564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D735E4A" w14:textId="28B94A98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lastRenderedPageBreak/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676F69E1" w14:textId="3B622A3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Selecciona estrategias que favorecen el desarrollo intelectual, físico, social y emocional de los alumnos para procurar el logro de los aprendizajes. </w:t>
      </w:r>
    </w:p>
    <w:p w14:paraId="3FFB2F4A" w14:textId="630933C0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313447C" w14:textId="019A534E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Construye escenarios y experiencias de aprendizaje utilizando diversos recursos metodológicos y tecnológicos para favorecer la educación inclusiva. </w:t>
      </w:r>
    </w:p>
    <w:p w14:paraId="187A92AF" w14:textId="535FABD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184F77B9" w14:textId="25495A32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Elabora propuestas para mejorar los resultados de su enseñanza y los aprendizajes de sus alumnos. </w:t>
      </w:r>
    </w:p>
    <w:p w14:paraId="0A1600F1" w14:textId="64062933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los recursos metodológicos y técnicos de la investigación para explicar, comprender situaciones educativas y mejorar su docencia. </w:t>
      </w:r>
    </w:p>
    <w:p w14:paraId="5B6763BD" w14:textId="02C72BCD" w:rsidR="00181268" w:rsidRDefault="00181268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Orienta su actuación profesional </w:t>
      </w:r>
      <w:r w:rsidR="00533750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con sentido ético-valoral y asume los diversos principios y reglas que aseguran una mejor convivencia institucional y social, en beneficio de los alumnos y de la comunidad escolar. </w:t>
      </w:r>
    </w:p>
    <w:p w14:paraId="2DE805DB" w14:textId="51313BDC" w:rsidR="00533750" w:rsidRPr="00A76197" w:rsidRDefault="00533750" w:rsidP="00A76197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Decide las estrategias pedagógicas para minimizar o eliminar las barreras para el aprendizaje y la participación asegurando una educación inclusiva. </w:t>
      </w:r>
    </w:p>
    <w:p w14:paraId="4D9A5E60" w14:textId="77777777" w:rsidR="00C86373" w:rsidRPr="00EA0A32" w:rsidRDefault="00C86373" w:rsidP="00FB5DAC">
      <w:pPr>
        <w:spacing w:before="240" w:after="0"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E057189" w14:textId="77777777" w:rsidR="00C86373" w:rsidRPr="00EA0A32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72F7FAE" w14:textId="13B8FF73" w:rsidR="00C86373" w:rsidRPr="00EA0A32" w:rsidRDefault="00C86373" w:rsidP="00FB5DAC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8545E88" w14:textId="7B113EB3" w:rsidR="00DB43E1" w:rsidRDefault="00C86373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Saltillo, Coahuila a 1</w:t>
      </w:r>
      <w:r w:rsidR="00533750">
        <w:rPr>
          <w:rFonts w:ascii="Arial" w:eastAsia="Arial" w:hAnsi="Arial" w:cs="Arial"/>
          <w:color w:val="332C33"/>
          <w:sz w:val="24"/>
          <w:szCs w:val="24"/>
          <w:lang w:eastAsia="es-MX"/>
        </w:rPr>
        <w:t>8</w:t>
      </w: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marzo del 202</w:t>
      </w:r>
      <w:r w:rsidR="00093914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5F9F4A78" w14:textId="7CF8B7BB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CAD6E7A" w14:textId="54742DBD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80B8966" w14:textId="3DA2CA73" w:rsidR="00533750" w:rsidRDefault="00533750" w:rsidP="00FB5DAC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93D60B1" w14:textId="32B321A5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D1E8B63" w14:textId="37D623A4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D2219C7" w14:textId="1043C0E9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24C676A" w14:textId="18280CE6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383A0A8" w14:textId="7BB72358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DD283DC" w14:textId="301957E7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74E0F9C" w14:textId="14F55077" w:rsidR="00533750" w:rsidRDefault="00123D8E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6966EE" wp14:editId="4A850784">
            <wp:simplePos x="0" y="0"/>
            <wp:positionH relativeFrom="margin">
              <wp:posOffset>-64135</wp:posOffset>
            </wp:positionH>
            <wp:positionV relativeFrom="paragraph">
              <wp:posOffset>-518795</wp:posOffset>
            </wp:positionV>
            <wp:extent cx="5461000" cy="9425377"/>
            <wp:effectExtent l="0" t="0" r="635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94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EBD0E" w14:textId="63F79421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FAB239" w14:textId="4B93EE54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52ADA25" w14:textId="57FF77CF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EA42D24" w14:textId="7B64C253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37FDAEB" w14:textId="3AFE5172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98767B8" w14:textId="6AA2C77F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1CC422F" w14:textId="1413BFE5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4B57E39" w14:textId="51B82CDE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19E2A86" w14:textId="4BD22368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7A5269F" w14:textId="75C7736E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FA442B6" w14:textId="5BA034C7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C15AF74" w14:textId="56F8C3F7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082B7DE" w14:textId="51D49105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2CC50B2" w14:textId="53409B5F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0957C20" w14:textId="31C7D80E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AB85173" w14:textId="6C1983BD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9DFD722" w14:textId="0B4CF55E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26DCB9A" w14:textId="69288C1D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3942514" w14:textId="755F435C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2A80B1E" w14:textId="63BF70E9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25B93E1" w14:textId="4E44F488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665DE6C" w14:textId="4D12A6F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F9CCB8A" w14:textId="1D395D9A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CC8A913" w14:textId="790B065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A683302" w14:textId="6A79C8FD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D207603" w14:textId="415C44B4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29DCFDF" w14:textId="77777777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53375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B3C7D8D" w14:textId="77777777" w:rsidR="00533750" w:rsidRDefault="00533750" w:rsidP="00533750">
      <w:pPr>
        <w:pStyle w:val="Standard"/>
        <w:rPr>
          <w:sz w:val="16"/>
          <w:szCs w:val="16"/>
        </w:rPr>
      </w:pPr>
    </w:p>
    <w:tbl>
      <w:tblPr>
        <w:tblW w:w="14505" w:type="dxa"/>
        <w:tblInd w:w="-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5"/>
      </w:tblGrid>
      <w:tr w:rsidR="00533750" w14:paraId="375808BB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2E0A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DE EVALUACIÓN DE UNA INFOGRAFÍA</w:t>
            </w:r>
          </w:p>
        </w:tc>
      </w:tr>
    </w:tbl>
    <w:p w14:paraId="4753B245" w14:textId="77777777" w:rsidR="00533750" w:rsidRDefault="00533750" w:rsidP="00533750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</w:rPr>
      </w:pPr>
    </w:p>
    <w:tbl>
      <w:tblPr>
        <w:tblW w:w="14490" w:type="dxa"/>
        <w:tblInd w:w="-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217"/>
        <w:gridCol w:w="3217"/>
        <w:gridCol w:w="3217"/>
        <w:gridCol w:w="3220"/>
      </w:tblGrid>
      <w:tr w:rsidR="00533750" w14:paraId="3FCEE86B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CDB7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DEB6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E86C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5E44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00E4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533750" w14:paraId="26C6AC6D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368C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32B4855B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CE7F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C131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5395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72B8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533750" w14:paraId="56DFD838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9230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04F1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72A8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8075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D1C9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533750" w14:paraId="4CFE9E9E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D221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2A82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recogidos con mucha claridad  todos y cada uno de los conceptos e ideas 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93FE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 aparecen recogidas con bastante claridad todas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5E27" w14:textId="0CBC00E0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r>
              <w:rPr>
                <w:rFonts w:ascii="Ubuntu" w:eastAsia="Ubuntu" w:hAnsi="Ubuntu" w:cs="Ubuntu"/>
                <w:sz w:val="18"/>
                <w:szCs w:val="18"/>
              </w:rPr>
              <w:t>tema,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C0B4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533750" w14:paraId="1E48707D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FC72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9494" w14:textId="77777777" w:rsidR="00533750" w:rsidRDefault="00533750" w:rsidP="003D36EA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D293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1EF3" w14:textId="77777777" w:rsidR="00533750" w:rsidRDefault="00533750" w:rsidP="003D36EA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5068" w14:textId="77777777" w:rsidR="00533750" w:rsidRDefault="00533750" w:rsidP="003D36EA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 no poseen unas dimensiones adecuadas y no se adecúan al mensaje que se quiere transmitir.</w:t>
            </w:r>
          </w:p>
        </w:tc>
      </w:tr>
      <w:tr w:rsidR="00533750" w14:paraId="4860E381" w14:textId="77777777" w:rsidTr="00533750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228E" w14:textId="77777777" w:rsidR="00533750" w:rsidRDefault="00533750" w:rsidP="003D36EA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A95CC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A8C0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881E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D3D9" w14:textId="77777777" w:rsidR="00533750" w:rsidRDefault="00533750" w:rsidP="003D36EA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4804A421" w14:textId="77777777" w:rsidR="00533750" w:rsidRDefault="00533750" w:rsidP="00533750">
      <w:pPr>
        <w:pStyle w:val="Standard"/>
      </w:pPr>
    </w:p>
    <w:p w14:paraId="75195EC7" w14:textId="77777777" w:rsidR="00533750" w:rsidRDefault="00533750" w:rsidP="00533750">
      <w:pPr>
        <w:pStyle w:val="Standard"/>
      </w:pPr>
    </w:p>
    <w:p w14:paraId="77F7C851" w14:textId="6D4D896B" w:rsidR="00533750" w:rsidRDefault="00533750" w:rsidP="00533750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4AF9F73" w14:textId="77777777" w:rsidR="00FB5DAC" w:rsidRDefault="00FB5DAC" w:rsidP="00E52DD4">
      <w:pPr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FB5DAC" w:rsidSect="005337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B544F"/>
    <w:rsid w:val="000E0C0A"/>
    <w:rsid w:val="000E1D77"/>
    <w:rsid w:val="00116A6A"/>
    <w:rsid w:val="00123D8E"/>
    <w:rsid w:val="0015730E"/>
    <w:rsid w:val="001615B9"/>
    <w:rsid w:val="00181268"/>
    <w:rsid w:val="001A1A54"/>
    <w:rsid w:val="001A7385"/>
    <w:rsid w:val="002049D8"/>
    <w:rsid w:val="00211A8A"/>
    <w:rsid w:val="0025233C"/>
    <w:rsid w:val="00253FD5"/>
    <w:rsid w:val="002559C1"/>
    <w:rsid w:val="00271EB0"/>
    <w:rsid w:val="002845D5"/>
    <w:rsid w:val="002940B0"/>
    <w:rsid w:val="002A49CD"/>
    <w:rsid w:val="002B2162"/>
    <w:rsid w:val="002F5C27"/>
    <w:rsid w:val="00324EC7"/>
    <w:rsid w:val="00333BFD"/>
    <w:rsid w:val="00334C38"/>
    <w:rsid w:val="003602E6"/>
    <w:rsid w:val="00366260"/>
    <w:rsid w:val="00397EBA"/>
    <w:rsid w:val="003D42BE"/>
    <w:rsid w:val="003F0EB6"/>
    <w:rsid w:val="004267DB"/>
    <w:rsid w:val="00446D92"/>
    <w:rsid w:val="004B14BB"/>
    <w:rsid w:val="004E4935"/>
    <w:rsid w:val="00514BB8"/>
    <w:rsid w:val="0052191A"/>
    <w:rsid w:val="00527C41"/>
    <w:rsid w:val="00533750"/>
    <w:rsid w:val="00534138"/>
    <w:rsid w:val="00534F52"/>
    <w:rsid w:val="00537263"/>
    <w:rsid w:val="00563DD9"/>
    <w:rsid w:val="005C1990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922701"/>
    <w:rsid w:val="00942443"/>
    <w:rsid w:val="009575A9"/>
    <w:rsid w:val="00960049"/>
    <w:rsid w:val="00971BCC"/>
    <w:rsid w:val="00977C0D"/>
    <w:rsid w:val="009C7970"/>
    <w:rsid w:val="009D765D"/>
    <w:rsid w:val="00A7018C"/>
    <w:rsid w:val="00A76197"/>
    <w:rsid w:val="00A77D45"/>
    <w:rsid w:val="00A90572"/>
    <w:rsid w:val="00AA68C7"/>
    <w:rsid w:val="00AF0433"/>
    <w:rsid w:val="00B22C57"/>
    <w:rsid w:val="00B47005"/>
    <w:rsid w:val="00B94949"/>
    <w:rsid w:val="00BB25DD"/>
    <w:rsid w:val="00BD6A4F"/>
    <w:rsid w:val="00BE021E"/>
    <w:rsid w:val="00BE1589"/>
    <w:rsid w:val="00BE5CAF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B43E1"/>
    <w:rsid w:val="00DD1098"/>
    <w:rsid w:val="00E0284B"/>
    <w:rsid w:val="00E52DD4"/>
    <w:rsid w:val="00EA0A32"/>
    <w:rsid w:val="00EA603B"/>
    <w:rsid w:val="00EB354A"/>
    <w:rsid w:val="00EB498F"/>
    <w:rsid w:val="00ED7006"/>
    <w:rsid w:val="00F06BFB"/>
    <w:rsid w:val="00F10D86"/>
    <w:rsid w:val="00F216E4"/>
    <w:rsid w:val="00F4195D"/>
    <w:rsid w:val="00F75643"/>
    <w:rsid w:val="00F815D1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tandard">
    <w:name w:val="Standard"/>
    <w:rsid w:val="00533750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2021-03-19T05:55:00Z</dcterms:created>
  <dcterms:modified xsi:type="dcterms:W3CDTF">2021-03-19T05:55:00Z</dcterms:modified>
</cp:coreProperties>
</file>