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A92" w:rsidRDefault="00272A92" w:rsidP="00272A92">
      <w:pPr>
        <w:rPr>
          <w:rFonts w:ascii="CHICKEN Pie Height" w:hAnsi="CHICKEN Pie Height"/>
          <w:sz w:val="28"/>
          <w:szCs w:val="28"/>
        </w:rPr>
      </w:pPr>
    </w:p>
    <w:p w:rsidR="00272A92" w:rsidRDefault="00272A92" w:rsidP="00272A92">
      <w:pPr>
        <w:jc w:val="center"/>
        <w:rPr>
          <w:rFonts w:ascii="CHICKEN Pie Height" w:hAnsi="CHICKEN Pie Height"/>
          <w:sz w:val="28"/>
          <w:szCs w:val="28"/>
        </w:rPr>
      </w:pPr>
    </w:p>
    <w:p w:rsidR="00272A92" w:rsidRPr="008D15BF" w:rsidRDefault="00272A92" w:rsidP="00272A92">
      <w:pPr>
        <w:jc w:val="center"/>
        <w:rPr>
          <w:rFonts w:ascii="CHICKEN Pie Height" w:hAnsi="CHICKEN Pie Height"/>
          <w:sz w:val="28"/>
          <w:szCs w:val="28"/>
        </w:rPr>
      </w:pPr>
      <w:r w:rsidRPr="00CF62C9">
        <w:rPr>
          <w:rFonts w:ascii="CHICKEN Pie" w:hAnsi="CHICKEN Pie" w:cs="Arial"/>
          <w:noProof/>
          <w:sz w:val="34"/>
          <w:szCs w:val="32"/>
          <w:lang w:eastAsia="es-MX"/>
        </w:rPr>
        <w:drawing>
          <wp:anchor distT="0" distB="0" distL="114300" distR="114300" simplePos="0" relativeHeight="251659264" behindDoc="1" locked="0" layoutInCell="1" allowOverlap="1" wp14:anchorId="6E85DB0E" wp14:editId="203189CB">
            <wp:simplePos x="0" y="0"/>
            <wp:positionH relativeFrom="margin">
              <wp:align>left</wp:align>
            </wp:positionH>
            <wp:positionV relativeFrom="paragraph">
              <wp:posOffset>-12700</wp:posOffset>
            </wp:positionV>
            <wp:extent cx="742950" cy="925830"/>
            <wp:effectExtent l="0" t="0" r="0" b="762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6">
                      <a:extLst>
                        <a:ext uri="{28A0092B-C50C-407E-A947-70E740481C1C}">
                          <a14:useLocalDpi xmlns:a14="http://schemas.microsoft.com/office/drawing/2010/main" val="0"/>
                        </a:ext>
                      </a:extLst>
                    </a:blip>
                    <a:srcRect l="23591" r="18522"/>
                    <a:stretch/>
                  </pic:blipFill>
                  <pic:spPr bwMode="auto">
                    <a:xfrm>
                      <a:off x="0" y="0"/>
                      <a:ext cx="742950" cy="925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15BF">
        <w:rPr>
          <w:rFonts w:ascii="CHICKEN Pie Height" w:hAnsi="CHICKEN Pie Height"/>
          <w:sz w:val="28"/>
          <w:szCs w:val="28"/>
        </w:rPr>
        <w:t>Escuela Normal de Educación Preescolar.</w:t>
      </w:r>
    </w:p>
    <w:p w:rsidR="00272A92" w:rsidRPr="008D15BF" w:rsidRDefault="00272A92" w:rsidP="00272A92">
      <w:pPr>
        <w:jc w:val="center"/>
        <w:rPr>
          <w:rFonts w:ascii="CHICKEN Pie Height" w:hAnsi="CHICKEN Pie Height"/>
          <w:sz w:val="28"/>
          <w:szCs w:val="28"/>
        </w:rPr>
      </w:pPr>
      <w:r w:rsidRPr="008D15BF">
        <w:rPr>
          <w:rFonts w:ascii="CHICKEN Pie Height" w:hAnsi="CHICKEN Pie Height"/>
          <w:sz w:val="28"/>
          <w:szCs w:val="28"/>
        </w:rPr>
        <w:t>Licenciatura en Educación Preescolar.</w:t>
      </w:r>
    </w:p>
    <w:p w:rsidR="00272A92" w:rsidRPr="008D15BF" w:rsidRDefault="00272A92" w:rsidP="00272A92">
      <w:pPr>
        <w:jc w:val="center"/>
        <w:rPr>
          <w:rFonts w:ascii="Century Gothic" w:hAnsi="Century Gothic"/>
          <w:sz w:val="28"/>
          <w:szCs w:val="28"/>
        </w:rPr>
      </w:pPr>
      <w:r w:rsidRPr="008D15BF">
        <w:rPr>
          <w:rFonts w:ascii="Century Gothic" w:hAnsi="Century Gothic"/>
          <w:sz w:val="28"/>
          <w:szCs w:val="28"/>
        </w:rPr>
        <w:t>Ciclo Escolar 2020-2021.</w:t>
      </w:r>
    </w:p>
    <w:p w:rsidR="00272A92" w:rsidRPr="008D15BF" w:rsidRDefault="00272A92" w:rsidP="00272A92">
      <w:pPr>
        <w:jc w:val="center"/>
        <w:rPr>
          <w:rFonts w:ascii="Century Gothic" w:hAnsi="Century Gothic"/>
          <w:sz w:val="28"/>
          <w:szCs w:val="28"/>
        </w:rPr>
      </w:pPr>
      <w:r>
        <w:rPr>
          <w:rFonts w:ascii="Century Gothic" w:hAnsi="Century Gothic"/>
          <w:sz w:val="28"/>
          <w:szCs w:val="28"/>
        </w:rPr>
        <w:t>Cuarto</w:t>
      </w:r>
      <w:r w:rsidRPr="008D15BF">
        <w:rPr>
          <w:rFonts w:ascii="Century Gothic" w:hAnsi="Century Gothic"/>
          <w:sz w:val="28"/>
          <w:szCs w:val="28"/>
        </w:rPr>
        <w:t xml:space="preserve"> semestre</w:t>
      </w:r>
    </w:p>
    <w:p w:rsidR="00272A92" w:rsidRPr="008D15BF" w:rsidRDefault="00272A92" w:rsidP="00272A92">
      <w:pPr>
        <w:jc w:val="center"/>
        <w:rPr>
          <w:rFonts w:ascii="Century Gothic" w:hAnsi="Century Gothic"/>
          <w:sz w:val="28"/>
          <w:szCs w:val="28"/>
        </w:rPr>
      </w:pPr>
      <w:r w:rsidRPr="008D15BF">
        <w:rPr>
          <w:rFonts w:ascii="CHICKEN Pie Height" w:hAnsi="CHICKEN Pie Height"/>
          <w:sz w:val="28"/>
          <w:szCs w:val="28"/>
        </w:rPr>
        <w:t>Docente:</w:t>
      </w:r>
      <w:r>
        <w:rPr>
          <w:rFonts w:ascii="Century Gothic" w:hAnsi="Century Gothic"/>
          <w:sz w:val="28"/>
          <w:szCs w:val="28"/>
        </w:rPr>
        <w:t xml:space="preserve"> </w:t>
      </w:r>
      <w:r>
        <w:rPr>
          <w:rFonts w:ascii="Century Gothic" w:hAnsi="Century Gothic"/>
          <w:sz w:val="28"/>
          <w:szCs w:val="28"/>
        </w:rPr>
        <w:t>Daniel Díaz Gutiérrez</w:t>
      </w:r>
    </w:p>
    <w:p w:rsidR="00272A92" w:rsidRPr="008D15BF" w:rsidRDefault="00272A92" w:rsidP="00272A92">
      <w:pPr>
        <w:jc w:val="center"/>
        <w:rPr>
          <w:rFonts w:ascii="Century Gothic" w:hAnsi="Century Gothic"/>
          <w:sz w:val="28"/>
          <w:szCs w:val="28"/>
        </w:rPr>
      </w:pPr>
      <w:r w:rsidRPr="008D15BF">
        <w:rPr>
          <w:rFonts w:ascii="CHICKEN Pie Height" w:hAnsi="CHICKEN Pie Height"/>
          <w:sz w:val="28"/>
          <w:szCs w:val="28"/>
        </w:rPr>
        <w:t>Curso:</w:t>
      </w:r>
      <w:r w:rsidRPr="008D15BF">
        <w:rPr>
          <w:rFonts w:ascii="Century Gothic" w:hAnsi="Century Gothic"/>
          <w:sz w:val="28"/>
          <w:szCs w:val="28"/>
        </w:rPr>
        <w:t xml:space="preserve"> </w:t>
      </w:r>
      <w:r>
        <w:rPr>
          <w:rFonts w:ascii="Century Gothic" w:hAnsi="Century Gothic"/>
          <w:sz w:val="28"/>
          <w:szCs w:val="28"/>
        </w:rPr>
        <w:t>Optativo</w:t>
      </w:r>
    </w:p>
    <w:p w:rsidR="00272A92" w:rsidRPr="008D15BF" w:rsidRDefault="00272A92" w:rsidP="00272A92">
      <w:pPr>
        <w:jc w:val="center"/>
        <w:rPr>
          <w:rFonts w:ascii="Century Gothic" w:hAnsi="Century Gothic"/>
          <w:sz w:val="28"/>
          <w:szCs w:val="28"/>
        </w:rPr>
      </w:pPr>
      <w:r w:rsidRPr="008D15BF">
        <w:rPr>
          <w:rFonts w:ascii="CHICKEN Pie Height" w:hAnsi="CHICKEN Pie Height"/>
          <w:sz w:val="28"/>
          <w:szCs w:val="28"/>
        </w:rPr>
        <w:t>Trabajo:</w:t>
      </w:r>
      <w:r w:rsidRPr="008D15BF">
        <w:rPr>
          <w:rFonts w:ascii="Century Gothic" w:hAnsi="Century Gothic"/>
          <w:sz w:val="28"/>
          <w:szCs w:val="28"/>
        </w:rPr>
        <w:t xml:space="preserve"> </w:t>
      </w:r>
      <w:r>
        <w:rPr>
          <w:rFonts w:ascii="Century Gothic" w:hAnsi="Century Gothic"/>
          <w:sz w:val="28"/>
          <w:szCs w:val="28"/>
        </w:rPr>
        <w:t xml:space="preserve">Conceptos básicos de la filosofía de la educación </w:t>
      </w:r>
    </w:p>
    <w:p w:rsidR="00272A92" w:rsidRDefault="00272A92" w:rsidP="00272A92">
      <w:pPr>
        <w:jc w:val="center"/>
        <w:rPr>
          <w:rFonts w:ascii="CHICKEN Pie Height" w:hAnsi="CHICKEN Pie Height"/>
          <w:sz w:val="28"/>
          <w:szCs w:val="28"/>
        </w:rPr>
      </w:pPr>
      <w:r>
        <w:rPr>
          <w:rFonts w:ascii="CHICKEN Pie Height" w:hAnsi="CHICKEN Pie Height"/>
          <w:sz w:val="28"/>
          <w:szCs w:val="28"/>
        </w:rPr>
        <w:t xml:space="preserve">Unidad </w:t>
      </w:r>
      <w:r w:rsidRPr="008D15BF">
        <w:rPr>
          <w:rFonts w:ascii="CHICKEN Pie Height" w:hAnsi="CHICKEN Pie Height"/>
          <w:sz w:val="28"/>
          <w:szCs w:val="28"/>
        </w:rPr>
        <w:t>I:</w:t>
      </w:r>
      <w:r>
        <w:rPr>
          <w:rFonts w:ascii="CHICKEN Pie Height" w:hAnsi="CHICKEN Pie Height"/>
          <w:sz w:val="28"/>
          <w:szCs w:val="28"/>
        </w:rPr>
        <w:t xml:space="preserve"> </w:t>
      </w:r>
    </w:p>
    <w:p w:rsidR="00272A92" w:rsidRPr="00272A92" w:rsidRDefault="00272A92" w:rsidP="00272A92">
      <w:pPr>
        <w:jc w:val="center"/>
        <w:rPr>
          <w:rFonts w:ascii="Century Gothic" w:hAnsi="Century Gothic"/>
          <w:sz w:val="28"/>
          <w:szCs w:val="28"/>
        </w:rPr>
      </w:pPr>
      <w:r w:rsidRPr="00272A92">
        <w:rPr>
          <w:rFonts w:ascii="Century Gothic" w:hAnsi="Century Gothic"/>
          <w:sz w:val="28"/>
          <w:szCs w:val="28"/>
        </w:rPr>
        <w:t>Introducción y Conceptos Básicos de Filosofía de la Educación</w:t>
      </w:r>
    </w:p>
    <w:p w:rsidR="00272A92" w:rsidRDefault="00272A92" w:rsidP="00272A92">
      <w:pPr>
        <w:jc w:val="center"/>
        <w:rPr>
          <w:rFonts w:ascii="CHICKEN Pie Height" w:hAnsi="CHICKEN Pie Height"/>
          <w:sz w:val="28"/>
          <w:szCs w:val="28"/>
        </w:rPr>
      </w:pPr>
      <w:r w:rsidRPr="008D15BF">
        <w:rPr>
          <w:rFonts w:ascii="CHICKEN Pie Height" w:hAnsi="CHICKEN Pie Height"/>
          <w:sz w:val="28"/>
          <w:szCs w:val="28"/>
        </w:rPr>
        <w:t>Competencias:</w:t>
      </w:r>
    </w:p>
    <w:p w:rsidR="00272A92" w:rsidRPr="00272A92" w:rsidRDefault="00272A92" w:rsidP="00272A92">
      <w:pPr>
        <w:rPr>
          <w:rFonts w:ascii="Century Gothic" w:hAnsi="Century Gothic"/>
          <w:sz w:val="28"/>
          <w:szCs w:val="28"/>
        </w:rPr>
      </w:pPr>
      <w:r w:rsidRPr="008D15BF">
        <w:rPr>
          <w:rFonts w:ascii="Century Gothic" w:hAnsi="Century Gothic"/>
          <w:sz w:val="28"/>
          <w:szCs w:val="28"/>
        </w:rPr>
        <w:t>• Actúa de manera ética ante la diversidad de situaciones que se</w:t>
      </w:r>
      <w:r>
        <w:rPr>
          <w:rFonts w:ascii="Century Gothic" w:hAnsi="Century Gothic"/>
          <w:sz w:val="28"/>
          <w:szCs w:val="28"/>
        </w:rPr>
        <w:t xml:space="preserve"> </w:t>
      </w:r>
      <w:r w:rsidRPr="008D15BF">
        <w:rPr>
          <w:rFonts w:ascii="Century Gothic" w:hAnsi="Century Gothic"/>
          <w:sz w:val="28"/>
          <w:szCs w:val="28"/>
        </w:rPr>
        <w:t>presentan en la práctica profesional.</w:t>
      </w:r>
    </w:p>
    <w:p w:rsidR="00272A92" w:rsidRPr="008D15BF" w:rsidRDefault="00272A92" w:rsidP="00272A92">
      <w:pPr>
        <w:rPr>
          <w:rFonts w:ascii="Century Gothic" w:hAnsi="Century Gothic"/>
          <w:sz w:val="28"/>
          <w:szCs w:val="28"/>
        </w:rPr>
      </w:pPr>
      <w:r w:rsidRPr="008D15BF">
        <w:rPr>
          <w:rFonts w:ascii="Century Gothic" w:hAnsi="Century Gothic"/>
          <w:sz w:val="28"/>
          <w:szCs w:val="28"/>
        </w:rPr>
        <w:t>• Integra recursos de la investigación educativa para enriquecer su</w:t>
      </w:r>
      <w:r>
        <w:rPr>
          <w:rFonts w:ascii="Century Gothic" w:hAnsi="Century Gothic"/>
          <w:sz w:val="28"/>
          <w:szCs w:val="28"/>
        </w:rPr>
        <w:t xml:space="preserve"> </w:t>
      </w:r>
      <w:r w:rsidRPr="008D15BF">
        <w:rPr>
          <w:rFonts w:ascii="Century Gothic" w:hAnsi="Century Gothic"/>
          <w:sz w:val="28"/>
          <w:szCs w:val="28"/>
        </w:rPr>
        <w:t>práctica profesional, expresando su interés por el conocimiento, la</w:t>
      </w:r>
      <w:r>
        <w:rPr>
          <w:rFonts w:ascii="Century Gothic" w:hAnsi="Century Gothic"/>
          <w:sz w:val="28"/>
          <w:szCs w:val="28"/>
        </w:rPr>
        <w:t xml:space="preserve"> </w:t>
      </w:r>
      <w:r w:rsidRPr="008D15BF">
        <w:rPr>
          <w:rFonts w:ascii="Century Gothic" w:hAnsi="Century Gothic"/>
          <w:sz w:val="28"/>
          <w:szCs w:val="28"/>
        </w:rPr>
        <w:t>ciencia y la mejora de la educación.</w:t>
      </w:r>
    </w:p>
    <w:p w:rsidR="00272A92" w:rsidRPr="008D15BF" w:rsidRDefault="00272A92" w:rsidP="00272A92">
      <w:pPr>
        <w:jc w:val="center"/>
        <w:rPr>
          <w:rFonts w:ascii="CHICKEN Pie Height" w:hAnsi="CHICKEN Pie Height"/>
          <w:sz w:val="28"/>
          <w:szCs w:val="28"/>
        </w:rPr>
      </w:pPr>
      <w:r w:rsidRPr="008D15BF">
        <w:rPr>
          <w:rFonts w:ascii="CHICKEN Pie Height" w:hAnsi="CHICKEN Pie Height"/>
          <w:sz w:val="28"/>
          <w:szCs w:val="28"/>
        </w:rPr>
        <w:t>Alumna:</w:t>
      </w:r>
    </w:p>
    <w:p w:rsidR="00272A92" w:rsidRPr="008D15BF" w:rsidRDefault="00272A92" w:rsidP="00272A92">
      <w:pPr>
        <w:jc w:val="center"/>
        <w:rPr>
          <w:rFonts w:ascii="Century Gothic" w:hAnsi="Century Gothic"/>
          <w:sz w:val="28"/>
          <w:szCs w:val="28"/>
        </w:rPr>
      </w:pPr>
      <w:r>
        <w:rPr>
          <w:rFonts w:ascii="Century Gothic" w:hAnsi="Century Gothic"/>
          <w:sz w:val="28"/>
          <w:szCs w:val="28"/>
        </w:rPr>
        <w:t xml:space="preserve">Diana Martinez Rodriguez </w:t>
      </w:r>
    </w:p>
    <w:p w:rsidR="00272A92" w:rsidRPr="008D15BF" w:rsidRDefault="00272A92" w:rsidP="00272A92">
      <w:pPr>
        <w:jc w:val="center"/>
        <w:rPr>
          <w:rFonts w:ascii="Century Gothic" w:hAnsi="Century Gothic"/>
          <w:sz w:val="28"/>
          <w:szCs w:val="28"/>
        </w:rPr>
      </w:pPr>
      <w:r w:rsidRPr="008D15BF">
        <w:rPr>
          <w:rFonts w:ascii="CHICKEN Pie Height" w:hAnsi="CHICKEN Pie Height"/>
          <w:sz w:val="28"/>
          <w:szCs w:val="28"/>
        </w:rPr>
        <w:t>Grado:</w:t>
      </w:r>
      <w:r w:rsidRPr="008D15BF">
        <w:rPr>
          <w:rFonts w:ascii="Century Gothic" w:hAnsi="Century Gothic"/>
          <w:sz w:val="28"/>
          <w:szCs w:val="28"/>
        </w:rPr>
        <w:t xml:space="preserve"> 2° </w:t>
      </w:r>
      <w:r w:rsidRPr="008D15BF">
        <w:rPr>
          <w:rFonts w:ascii="CHICKEN Pie Height" w:hAnsi="CHICKEN Pie Height"/>
          <w:sz w:val="28"/>
          <w:szCs w:val="28"/>
        </w:rPr>
        <w:t>Sección:</w:t>
      </w:r>
      <w:r>
        <w:rPr>
          <w:rFonts w:ascii="Century Gothic" w:hAnsi="Century Gothic"/>
          <w:sz w:val="28"/>
          <w:szCs w:val="28"/>
        </w:rPr>
        <w:t xml:space="preserve"> “B</w:t>
      </w:r>
      <w:r w:rsidRPr="008D15BF">
        <w:rPr>
          <w:rFonts w:ascii="Century Gothic" w:hAnsi="Century Gothic"/>
          <w:sz w:val="28"/>
          <w:szCs w:val="28"/>
        </w:rPr>
        <w:t xml:space="preserve">” </w:t>
      </w:r>
      <w:r w:rsidRPr="008D15BF">
        <w:rPr>
          <w:rFonts w:ascii="CHICKEN Pie Height" w:hAnsi="CHICKEN Pie Height"/>
          <w:sz w:val="28"/>
          <w:szCs w:val="28"/>
        </w:rPr>
        <w:t>No. de lista:</w:t>
      </w:r>
      <w:r>
        <w:rPr>
          <w:rFonts w:ascii="Century Gothic" w:hAnsi="Century Gothic"/>
          <w:sz w:val="28"/>
          <w:szCs w:val="28"/>
        </w:rPr>
        <w:t xml:space="preserve"> 13</w:t>
      </w:r>
    </w:p>
    <w:p w:rsidR="00272A92" w:rsidRPr="008D15BF" w:rsidRDefault="00272A92" w:rsidP="00272A92">
      <w:pPr>
        <w:jc w:val="center"/>
        <w:rPr>
          <w:rFonts w:ascii="CHICKEN Pie Height" w:hAnsi="CHICKEN Pie Height"/>
          <w:sz w:val="28"/>
          <w:szCs w:val="28"/>
        </w:rPr>
      </w:pPr>
      <w:r>
        <w:rPr>
          <w:rFonts w:ascii="CHICKEN Pie Height" w:hAnsi="CHICKEN Pie Height"/>
          <w:sz w:val="28"/>
          <w:szCs w:val="28"/>
        </w:rPr>
        <w:t>Marzo</w:t>
      </w:r>
      <w:r w:rsidRPr="008D15BF">
        <w:rPr>
          <w:rFonts w:ascii="CHICKEN Pie Height" w:hAnsi="CHICKEN Pie Height"/>
          <w:sz w:val="28"/>
          <w:szCs w:val="28"/>
        </w:rPr>
        <w:t xml:space="preserve"> 2021</w:t>
      </w:r>
    </w:p>
    <w:p w:rsidR="00272A92" w:rsidRDefault="00272A92" w:rsidP="00272A92">
      <w:pPr>
        <w:jc w:val="center"/>
        <w:rPr>
          <w:rFonts w:ascii="CHICKEN Pie Height" w:hAnsi="CHICKEN Pie Height"/>
          <w:sz w:val="28"/>
          <w:szCs w:val="28"/>
        </w:rPr>
      </w:pPr>
      <w:r w:rsidRPr="008D15BF">
        <w:rPr>
          <w:rFonts w:ascii="CHICKEN Pie Height" w:hAnsi="CHICKEN Pie Height"/>
          <w:sz w:val="28"/>
          <w:szCs w:val="28"/>
        </w:rPr>
        <w:t>Saltillo Coahuila, México.</w:t>
      </w:r>
    </w:p>
    <w:p w:rsidR="00272A92" w:rsidRDefault="00272A92" w:rsidP="00272A92">
      <w:pPr>
        <w:jc w:val="center"/>
        <w:rPr>
          <w:rFonts w:ascii="CHICKEN Pie Height" w:hAnsi="CHICKEN Pie Height"/>
          <w:sz w:val="28"/>
          <w:szCs w:val="28"/>
        </w:rPr>
      </w:pPr>
    </w:p>
    <w:p w:rsidR="00272A92" w:rsidRDefault="00272A92" w:rsidP="00272A92">
      <w:pPr>
        <w:jc w:val="center"/>
        <w:rPr>
          <w:rFonts w:ascii="CHICKEN Pie Height" w:hAnsi="CHICKEN Pie Height"/>
          <w:sz w:val="28"/>
          <w:szCs w:val="28"/>
        </w:rPr>
      </w:pPr>
    </w:p>
    <w:p w:rsidR="00272A92" w:rsidRDefault="00272A92" w:rsidP="00272A92">
      <w:pPr>
        <w:jc w:val="center"/>
        <w:rPr>
          <w:rFonts w:ascii="CHICKEN Pie Height" w:hAnsi="CHICKEN Pie Height"/>
          <w:sz w:val="28"/>
          <w:szCs w:val="28"/>
        </w:rPr>
      </w:pPr>
    </w:p>
    <w:p w:rsidR="00272A92" w:rsidRDefault="00272A92" w:rsidP="00272A92">
      <w:pPr>
        <w:jc w:val="center"/>
        <w:rPr>
          <w:rFonts w:ascii="CHICKEN Pie Height" w:hAnsi="CHICKEN Pie Height"/>
          <w:sz w:val="28"/>
          <w:szCs w:val="28"/>
        </w:rPr>
      </w:pPr>
    </w:p>
    <w:p w:rsidR="00272A92" w:rsidRPr="005E311A" w:rsidRDefault="00272A92" w:rsidP="00272A92">
      <w:pPr>
        <w:jc w:val="center"/>
        <w:rPr>
          <w:rFonts w:ascii="CHICKEN Pie Height" w:hAnsi="CHICKEN Pie Height"/>
          <w:b/>
          <w:sz w:val="30"/>
          <w:szCs w:val="28"/>
        </w:rPr>
      </w:pPr>
    </w:p>
    <w:p w:rsidR="00272A92" w:rsidRDefault="00272A92" w:rsidP="00272A92">
      <w:pPr>
        <w:jc w:val="center"/>
        <w:rPr>
          <w:rFonts w:ascii="Century Gothic" w:hAnsi="Century Gothic"/>
          <w:b/>
          <w:sz w:val="40"/>
          <w:szCs w:val="28"/>
        </w:rPr>
      </w:pPr>
      <w:r w:rsidRPr="005E311A">
        <w:rPr>
          <w:rFonts w:ascii="Century Gothic" w:hAnsi="Century Gothic"/>
          <w:b/>
          <w:sz w:val="40"/>
          <w:szCs w:val="28"/>
        </w:rPr>
        <w:t>Argumentación y su aplicación.</w:t>
      </w:r>
    </w:p>
    <w:p w:rsidR="005E311A" w:rsidRPr="005E311A" w:rsidRDefault="005E311A" w:rsidP="00272A92">
      <w:pPr>
        <w:jc w:val="center"/>
        <w:rPr>
          <w:rFonts w:ascii="Century Gothic" w:hAnsi="Century Gothic"/>
          <w:b/>
          <w:sz w:val="18"/>
          <w:szCs w:val="28"/>
        </w:rPr>
      </w:pPr>
    </w:p>
    <w:p w:rsidR="005E311A" w:rsidRPr="00D01E0D" w:rsidRDefault="005E311A" w:rsidP="00D01E0D">
      <w:pPr>
        <w:spacing w:line="276" w:lineRule="auto"/>
        <w:jc w:val="both"/>
        <w:rPr>
          <w:rFonts w:ascii="CHICKEN Pie Height" w:hAnsi="CHICKEN Pie Height"/>
          <w:sz w:val="34"/>
          <w:szCs w:val="28"/>
        </w:rPr>
      </w:pPr>
      <w:r w:rsidRPr="00D01E0D">
        <w:rPr>
          <w:rFonts w:ascii="Arial" w:hAnsi="Arial" w:cs="Arial"/>
          <w:sz w:val="24"/>
          <w:szCs w:val="28"/>
        </w:rPr>
        <w:t xml:space="preserve">Para iniciar con te tema debemos tener en claro que es la argumentación. Un argumento es un razonamiento que se emplea para demostrar o probar que lo que se dice o afirme es cierto o para convencer al otro de algo que aseveramos o negamos. </w:t>
      </w:r>
    </w:p>
    <w:p w:rsidR="005E311A" w:rsidRPr="00D01E0D" w:rsidRDefault="005E311A" w:rsidP="00D01E0D">
      <w:pPr>
        <w:spacing w:line="276" w:lineRule="auto"/>
        <w:jc w:val="both"/>
        <w:rPr>
          <w:rFonts w:ascii="Arial" w:hAnsi="Arial" w:cs="Arial"/>
          <w:sz w:val="24"/>
          <w:szCs w:val="28"/>
        </w:rPr>
      </w:pPr>
      <w:r w:rsidRPr="00D01E0D">
        <w:rPr>
          <w:rFonts w:ascii="Arial" w:hAnsi="Arial" w:cs="Arial"/>
          <w:sz w:val="24"/>
          <w:szCs w:val="28"/>
        </w:rPr>
        <w:t xml:space="preserve">En este sentido el argumento siempre busca persuadir a la otra persona sobre la veracidad de lo que decimos. </w:t>
      </w:r>
    </w:p>
    <w:p w:rsidR="005E311A" w:rsidRPr="00D01E0D" w:rsidRDefault="005E311A" w:rsidP="00D01E0D">
      <w:pPr>
        <w:spacing w:line="276" w:lineRule="auto"/>
        <w:jc w:val="both"/>
        <w:rPr>
          <w:rFonts w:ascii="Arial" w:hAnsi="Arial" w:cs="Arial"/>
          <w:sz w:val="24"/>
          <w:szCs w:val="28"/>
        </w:rPr>
      </w:pPr>
      <w:r w:rsidRPr="00D01E0D">
        <w:rPr>
          <w:rFonts w:ascii="Arial" w:hAnsi="Arial" w:cs="Arial"/>
          <w:sz w:val="24"/>
          <w:szCs w:val="28"/>
        </w:rPr>
        <w:t xml:space="preserve">Según Anthony Weston (1994) “Las claves de la argumentación” menciona que argumentar consiste en ofrecer un conjunto de razones o de pruebas en apoyo a una conclusión. También se hace mención que para sostener un argumento primero debe existir una premisa, una verdad, un punto de vista, una posición que vamos a defender. </w:t>
      </w:r>
    </w:p>
    <w:p w:rsidR="00D01E0D" w:rsidRPr="00D01E0D" w:rsidRDefault="005E311A" w:rsidP="00D01E0D">
      <w:pPr>
        <w:spacing w:line="276" w:lineRule="auto"/>
        <w:jc w:val="both"/>
        <w:rPr>
          <w:rFonts w:ascii="Arial" w:hAnsi="Arial" w:cs="Arial"/>
          <w:sz w:val="24"/>
          <w:szCs w:val="28"/>
        </w:rPr>
      </w:pPr>
      <w:r w:rsidRPr="00D01E0D">
        <w:rPr>
          <w:rFonts w:ascii="Arial" w:hAnsi="Arial" w:cs="Arial"/>
          <w:sz w:val="24"/>
          <w:szCs w:val="28"/>
        </w:rPr>
        <w:t>Pero en lo que más nos debemos de enfocar es en los niños de preescolar. La argumentación infantil no es un terr</w:t>
      </w:r>
      <w:r w:rsidR="00D01E0D" w:rsidRPr="00D01E0D">
        <w:rPr>
          <w:rFonts w:ascii="Arial" w:hAnsi="Arial" w:cs="Arial"/>
          <w:sz w:val="24"/>
          <w:szCs w:val="28"/>
        </w:rPr>
        <w:t>eno poco explorado:</w:t>
      </w:r>
    </w:p>
    <w:p w:rsidR="005E311A" w:rsidRPr="00D01E0D" w:rsidRDefault="005E311A" w:rsidP="00D01E0D">
      <w:pPr>
        <w:spacing w:line="276" w:lineRule="auto"/>
        <w:jc w:val="both"/>
        <w:rPr>
          <w:rFonts w:ascii="CHICKEN Pie Height" w:hAnsi="CHICKEN Pie Height"/>
          <w:sz w:val="34"/>
          <w:szCs w:val="28"/>
        </w:rPr>
      </w:pPr>
      <w:r w:rsidRPr="00D01E0D">
        <w:rPr>
          <w:rFonts w:ascii="Arial" w:hAnsi="Arial" w:cs="Arial"/>
          <w:i/>
          <w:sz w:val="24"/>
          <w:szCs w:val="28"/>
        </w:rPr>
        <w:t>Según Faigenbaum (2010) “Durante el juego los niños despliegan diversas estrategias argumentativas para sostener y persuadir a sus compañeros de juego de llevar a cabo determinadas acciones y compartir sus posiciones”</w:t>
      </w:r>
    </w:p>
    <w:p w:rsidR="00272A92" w:rsidRPr="00D01E0D" w:rsidRDefault="00D01E0D" w:rsidP="00D01E0D">
      <w:pPr>
        <w:spacing w:line="276" w:lineRule="auto"/>
        <w:rPr>
          <w:rFonts w:ascii="Arial" w:hAnsi="Arial" w:cs="Arial"/>
          <w:sz w:val="24"/>
          <w:szCs w:val="28"/>
        </w:rPr>
      </w:pPr>
      <w:r w:rsidRPr="00D01E0D">
        <w:rPr>
          <w:rFonts w:ascii="Arial" w:hAnsi="Arial" w:cs="Arial"/>
          <w:sz w:val="24"/>
          <w:szCs w:val="28"/>
        </w:rPr>
        <w:t xml:space="preserve">Como </w:t>
      </w:r>
      <w:proofErr w:type="spellStart"/>
      <w:r w:rsidRPr="00D01E0D">
        <w:rPr>
          <w:rFonts w:ascii="Arial" w:hAnsi="Arial" w:cs="Arial"/>
          <w:sz w:val="24"/>
          <w:szCs w:val="28"/>
        </w:rPr>
        <w:t>el</w:t>
      </w:r>
      <w:proofErr w:type="spellEnd"/>
      <w:r w:rsidRPr="00D01E0D">
        <w:rPr>
          <w:rFonts w:ascii="Arial" w:hAnsi="Arial" w:cs="Arial"/>
          <w:sz w:val="24"/>
          <w:szCs w:val="28"/>
        </w:rPr>
        <w:t xml:space="preserve"> nos menciona de que están en el juego es una manera divertida en que los niños empiezan con el proceso de argumentación. Al momento de que están en el juego narran lo que están haciendo, utilizando argumentos del porque con sus compañeros y también al momento de explicar si ganaron o no argumentando. </w:t>
      </w:r>
    </w:p>
    <w:p w:rsidR="00D01E0D" w:rsidRPr="00D01E0D" w:rsidRDefault="00D01E0D" w:rsidP="00D01E0D">
      <w:pPr>
        <w:spacing w:line="276" w:lineRule="auto"/>
        <w:rPr>
          <w:rFonts w:ascii="Arial" w:hAnsi="Arial" w:cs="Arial"/>
          <w:sz w:val="24"/>
          <w:szCs w:val="28"/>
        </w:rPr>
      </w:pPr>
      <w:r w:rsidRPr="00D01E0D">
        <w:rPr>
          <w:rFonts w:ascii="Arial" w:hAnsi="Arial" w:cs="Arial"/>
          <w:sz w:val="24"/>
          <w:szCs w:val="28"/>
        </w:rPr>
        <w:t>Otra manera que fue probada por el departamento de lingüística es mediante el cuento. Se narró el cuento “Caperucita roja” para estimular la producción argumentativa en los niños de 4 a 6 años.</w:t>
      </w:r>
    </w:p>
    <w:p w:rsidR="00D01E0D" w:rsidRPr="00D01E0D" w:rsidRDefault="00D01E0D" w:rsidP="00D01E0D">
      <w:pPr>
        <w:spacing w:line="276" w:lineRule="auto"/>
        <w:rPr>
          <w:rFonts w:ascii="Arial" w:hAnsi="Arial" w:cs="Arial"/>
          <w:sz w:val="24"/>
          <w:szCs w:val="28"/>
        </w:rPr>
      </w:pPr>
      <w:r w:rsidRPr="00D01E0D">
        <w:rPr>
          <w:rFonts w:ascii="Arial" w:hAnsi="Arial" w:cs="Arial"/>
          <w:sz w:val="24"/>
          <w:szCs w:val="28"/>
        </w:rPr>
        <w:t xml:space="preserve"> A partir de la codificación primaria de los datos se analizó que los niños cuentan con conocimientos a la argumentación básica, desarrollada por medio de actividades selectivas de la docente.</w:t>
      </w:r>
    </w:p>
    <w:p w:rsidR="00D01E0D" w:rsidRPr="00D01E0D" w:rsidRDefault="00D01E0D" w:rsidP="00D01E0D">
      <w:pPr>
        <w:spacing w:line="276" w:lineRule="auto"/>
        <w:rPr>
          <w:rFonts w:ascii="CHICKEN Pie Height" w:hAnsi="CHICKEN Pie Height"/>
          <w:sz w:val="34"/>
          <w:szCs w:val="28"/>
        </w:rPr>
      </w:pPr>
      <w:r w:rsidRPr="00D01E0D">
        <w:rPr>
          <w:rFonts w:ascii="Arial" w:hAnsi="Arial" w:cs="Arial"/>
          <w:sz w:val="24"/>
          <w:szCs w:val="28"/>
        </w:rPr>
        <w:t xml:space="preserve"> Dando a la conclusión que preparar a los más pequeños en el arte de la retórica y la argumentación no solo les hará brillar en su vida personal, sino también les ayuda a desarrollar habilidades de gran valor para su futura vida profesional.</w:t>
      </w:r>
    </w:p>
    <w:p w:rsidR="003C19EB" w:rsidRDefault="003C19EB"/>
    <w:p w:rsidR="00A55022" w:rsidRDefault="00A55022"/>
    <w:p w:rsidR="00A55022" w:rsidRDefault="00A55022"/>
    <w:p w:rsidR="00A55022" w:rsidRDefault="00A55022"/>
    <w:p w:rsidR="00A55022" w:rsidRDefault="00A55022" w:rsidP="00A55022">
      <w:pPr>
        <w:jc w:val="center"/>
        <w:rPr>
          <w:rFonts w:ascii="Century Gothic" w:hAnsi="Century Gothic"/>
          <w:sz w:val="36"/>
          <w:szCs w:val="28"/>
        </w:rPr>
      </w:pPr>
      <w:r>
        <w:rPr>
          <w:rFonts w:ascii="Century Gothic" w:hAnsi="Century Gothic"/>
          <w:sz w:val="36"/>
          <w:szCs w:val="28"/>
        </w:rPr>
        <w:t>Bibliografía.</w:t>
      </w:r>
    </w:p>
    <w:p w:rsidR="00A55022" w:rsidRDefault="00A55022" w:rsidP="00A55022">
      <w:pPr>
        <w:jc w:val="center"/>
        <w:rPr>
          <w:rFonts w:ascii="Century Gothic" w:hAnsi="Century Gothic"/>
          <w:sz w:val="36"/>
          <w:szCs w:val="28"/>
        </w:rPr>
      </w:pPr>
    </w:p>
    <w:p w:rsidR="00A55022" w:rsidRDefault="00A55022" w:rsidP="00A55022">
      <w:pPr>
        <w:pStyle w:val="Prrafodelista"/>
        <w:numPr>
          <w:ilvl w:val="0"/>
          <w:numId w:val="1"/>
        </w:numPr>
        <w:rPr>
          <w:rFonts w:cstheme="minorHAnsi"/>
          <w:sz w:val="18"/>
          <w:szCs w:val="18"/>
        </w:rPr>
      </w:pPr>
      <w:r w:rsidRPr="00A55022">
        <w:rPr>
          <w:rFonts w:cstheme="minorHAnsi"/>
          <w:b/>
          <w:bCs/>
          <w:sz w:val="18"/>
          <w:szCs w:val="18"/>
        </w:rPr>
        <w:t>Faigenbaum, G.</w:t>
      </w:r>
      <w:r w:rsidRPr="00A55022">
        <w:rPr>
          <w:rFonts w:cstheme="minorHAnsi"/>
          <w:sz w:val="18"/>
          <w:szCs w:val="18"/>
        </w:rPr>
        <w:t xml:space="preserve"> (2010). La argumentación en los niños. En J. Castorina (Ed.), </w:t>
      </w:r>
      <w:r w:rsidRPr="00A55022">
        <w:rPr>
          <w:rFonts w:cstheme="minorHAnsi"/>
          <w:i/>
          <w:iCs/>
          <w:sz w:val="18"/>
          <w:szCs w:val="18"/>
        </w:rPr>
        <w:t>Desarrollo del conocimiento social: prácticas, discursos y teoría.</w:t>
      </w:r>
      <w:r w:rsidRPr="00A55022">
        <w:rPr>
          <w:rFonts w:cstheme="minorHAnsi"/>
          <w:sz w:val="18"/>
          <w:szCs w:val="18"/>
        </w:rPr>
        <w:t xml:space="preserve"> Buenos Aires: Miño y Dávila. </w:t>
      </w:r>
    </w:p>
    <w:p w:rsidR="006B6F77" w:rsidRDefault="006B6F77" w:rsidP="006B6F77">
      <w:pPr>
        <w:pStyle w:val="Prrafodelista"/>
        <w:rPr>
          <w:rFonts w:cstheme="minorHAnsi"/>
          <w:sz w:val="18"/>
          <w:szCs w:val="18"/>
        </w:rPr>
      </w:pPr>
    </w:p>
    <w:p w:rsidR="00861878" w:rsidRPr="00861878" w:rsidRDefault="00A55022" w:rsidP="00861878">
      <w:pPr>
        <w:pStyle w:val="Prrafodelista"/>
        <w:numPr>
          <w:ilvl w:val="0"/>
          <w:numId w:val="1"/>
        </w:numPr>
        <w:rPr>
          <w:rFonts w:cstheme="minorHAnsi"/>
          <w:sz w:val="18"/>
          <w:szCs w:val="18"/>
        </w:rPr>
      </w:pPr>
      <w:r>
        <w:rPr>
          <w:rFonts w:ascii="Arial" w:hAnsi="Arial" w:cs="Arial"/>
          <w:color w:val="222222"/>
          <w:sz w:val="20"/>
          <w:szCs w:val="20"/>
          <w:shd w:val="clear" w:color="auto" w:fill="FFFFFF"/>
        </w:rPr>
        <w:t>Weston, A., &amp; Seña, J. F. M. (1994). </w:t>
      </w:r>
      <w:r>
        <w:rPr>
          <w:rFonts w:ascii="Arial" w:hAnsi="Arial" w:cs="Arial"/>
          <w:i/>
          <w:iCs/>
          <w:color w:val="222222"/>
          <w:sz w:val="20"/>
          <w:szCs w:val="20"/>
          <w:shd w:val="clear" w:color="auto" w:fill="FFFFFF"/>
        </w:rPr>
        <w:t>Las claves de la argumentación</w:t>
      </w:r>
      <w:r>
        <w:rPr>
          <w:rFonts w:ascii="Arial" w:hAnsi="Arial" w:cs="Arial"/>
          <w:color w:val="222222"/>
          <w:sz w:val="20"/>
          <w:szCs w:val="20"/>
          <w:shd w:val="clear" w:color="auto" w:fill="FFFFFF"/>
        </w:rPr>
        <w:t>. Barcelona: Ariel.</w:t>
      </w:r>
    </w:p>
    <w:p w:rsidR="00861878" w:rsidRPr="00861878" w:rsidRDefault="00861878" w:rsidP="00861878">
      <w:pPr>
        <w:pStyle w:val="Prrafodelista"/>
        <w:rPr>
          <w:rFonts w:cstheme="minorHAnsi"/>
          <w:sz w:val="18"/>
          <w:szCs w:val="18"/>
        </w:rPr>
      </w:pPr>
    </w:p>
    <w:p w:rsidR="00861878" w:rsidRPr="00861878" w:rsidRDefault="00861878" w:rsidP="00861878">
      <w:pPr>
        <w:pStyle w:val="Prrafodelista"/>
        <w:numPr>
          <w:ilvl w:val="0"/>
          <w:numId w:val="1"/>
        </w:numPr>
        <w:rPr>
          <w:rFonts w:cstheme="minorHAnsi"/>
          <w:sz w:val="18"/>
          <w:szCs w:val="18"/>
        </w:rPr>
      </w:pPr>
      <w:r>
        <w:rPr>
          <w:rFonts w:ascii="Arial" w:hAnsi="Arial" w:cs="Arial"/>
          <w:color w:val="222222"/>
          <w:sz w:val="20"/>
          <w:szCs w:val="20"/>
          <w:shd w:val="clear" w:color="auto" w:fill="FFFFFF"/>
        </w:rPr>
        <w:t>Cuenca, M. J. (1995). Mecanismos lingüísticos y discursivos de la argumentación. </w:t>
      </w:r>
      <w:r>
        <w:rPr>
          <w:rFonts w:ascii="Arial" w:hAnsi="Arial" w:cs="Arial"/>
          <w:i/>
          <w:iCs/>
          <w:color w:val="222222"/>
          <w:sz w:val="20"/>
          <w:szCs w:val="20"/>
          <w:shd w:val="clear" w:color="auto" w:fill="FFFFFF"/>
        </w:rPr>
        <w:t>Comunicación, lenguaje y educación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(2), 23-40.</w:t>
      </w:r>
    </w:p>
    <w:p w:rsidR="00861878" w:rsidRPr="00861878" w:rsidRDefault="00861878" w:rsidP="00861878">
      <w:pPr>
        <w:pStyle w:val="Prrafodelista"/>
        <w:rPr>
          <w:rFonts w:cstheme="minorHAnsi"/>
          <w:sz w:val="18"/>
          <w:szCs w:val="18"/>
        </w:rPr>
      </w:pPr>
    </w:p>
    <w:p w:rsidR="00861878" w:rsidRPr="00861878" w:rsidRDefault="00861878" w:rsidP="00861878">
      <w:pPr>
        <w:pStyle w:val="Prrafodelista"/>
        <w:rPr>
          <w:rFonts w:cstheme="minorHAnsi"/>
          <w:sz w:val="18"/>
          <w:szCs w:val="18"/>
        </w:rPr>
      </w:pPr>
    </w:p>
    <w:p w:rsidR="00A55022" w:rsidRDefault="00A55022" w:rsidP="00A55022">
      <w:pPr>
        <w:jc w:val="center"/>
      </w:pPr>
      <w:bookmarkStart w:id="0" w:name="_GoBack"/>
      <w:bookmarkEnd w:id="0"/>
    </w:p>
    <w:sectPr w:rsidR="00A550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HICKEN Pi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2852BF"/>
    <w:multiLevelType w:val="hybridMultilevel"/>
    <w:tmpl w:val="786A0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A92"/>
    <w:rsid w:val="00272A92"/>
    <w:rsid w:val="003C19EB"/>
    <w:rsid w:val="005E311A"/>
    <w:rsid w:val="006B6F77"/>
    <w:rsid w:val="00861878"/>
    <w:rsid w:val="00A55022"/>
    <w:rsid w:val="00D01E0D"/>
    <w:rsid w:val="00E842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2C787-11BC-43FE-A403-601DD90B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5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09953-98F8-4888-8348-D0863F12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480</Words>
  <Characters>2641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alemtz07.rodriguez@gmail.com</dc:creator>
  <cp:keywords/>
  <dc:description/>
  <cp:lastModifiedBy>alemtz07.rodriguez@gmail.com</cp:lastModifiedBy>
  <cp:revision>3</cp:revision>
  <dcterms:created xsi:type="dcterms:W3CDTF">2021-03-20T23:15:00Z</dcterms:created>
  <dcterms:modified xsi:type="dcterms:W3CDTF">2021-03-21T00:22:00Z</dcterms:modified>
</cp:coreProperties>
</file>