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F9FC6" w14:textId="1DE95014" w:rsidR="005559AF" w:rsidRDefault="008F3466" w:rsidP="008F3466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Escuela Normal de Educación Preescolar</w:t>
      </w:r>
    </w:p>
    <w:p w14:paraId="1AB1DBB2" w14:textId="23102E0A" w:rsidR="008F3466" w:rsidRPr="008F3466" w:rsidRDefault="008F3466" w:rsidP="008F3466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8F3466">
        <w:rPr>
          <w:rFonts w:ascii="Cambria" w:hAnsi="Cambria"/>
          <w:b/>
          <w:bCs/>
          <w:i/>
          <w:iCs/>
          <w:sz w:val="28"/>
          <w:szCs w:val="28"/>
        </w:rPr>
        <w:t>Ciclo 2020 – 2021</w:t>
      </w:r>
    </w:p>
    <w:p w14:paraId="5B07C83A" w14:textId="1A9A13C5" w:rsidR="008F3466" w:rsidRDefault="008F3466" w:rsidP="00DF0CC3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975D0E" wp14:editId="246D16F5">
            <wp:simplePos x="0" y="0"/>
            <wp:positionH relativeFrom="margin">
              <wp:align>center</wp:align>
            </wp:positionH>
            <wp:positionV relativeFrom="paragraph">
              <wp:posOffset>53340</wp:posOffset>
            </wp:positionV>
            <wp:extent cx="185737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F52B82" w14:textId="0F92E3E2" w:rsidR="00DF0CC3" w:rsidRDefault="00DF0CC3" w:rsidP="00DF0CC3">
      <w:pPr>
        <w:jc w:val="center"/>
        <w:rPr>
          <w:rFonts w:ascii="Cambria" w:hAnsi="Cambria"/>
          <w:sz w:val="28"/>
          <w:szCs w:val="28"/>
        </w:rPr>
      </w:pPr>
    </w:p>
    <w:p w14:paraId="113D1DC9" w14:textId="70AC62D6" w:rsidR="00DF0CC3" w:rsidRDefault="00DF0CC3" w:rsidP="00DF0CC3">
      <w:pPr>
        <w:jc w:val="center"/>
        <w:rPr>
          <w:rFonts w:ascii="Cambria" w:hAnsi="Cambria"/>
          <w:sz w:val="28"/>
          <w:szCs w:val="28"/>
        </w:rPr>
      </w:pPr>
    </w:p>
    <w:p w14:paraId="20589C23" w14:textId="026AAFE1" w:rsidR="00DF0CC3" w:rsidRDefault="00DF0CC3" w:rsidP="00DF0CC3">
      <w:pPr>
        <w:jc w:val="center"/>
        <w:rPr>
          <w:rFonts w:ascii="Cambria" w:hAnsi="Cambria"/>
          <w:sz w:val="28"/>
          <w:szCs w:val="28"/>
        </w:rPr>
      </w:pPr>
    </w:p>
    <w:p w14:paraId="51E9F0F3" w14:textId="77777777" w:rsidR="00DF0CC3" w:rsidRPr="00DF0CC3" w:rsidRDefault="00DF0CC3" w:rsidP="00DF0CC3">
      <w:pPr>
        <w:jc w:val="center"/>
        <w:rPr>
          <w:rFonts w:ascii="Cambria" w:hAnsi="Cambria"/>
          <w:sz w:val="28"/>
          <w:szCs w:val="28"/>
        </w:rPr>
      </w:pPr>
    </w:p>
    <w:p w14:paraId="6087F045" w14:textId="77777777" w:rsidR="00990328" w:rsidRDefault="00990328" w:rsidP="008F3466">
      <w:pPr>
        <w:jc w:val="center"/>
        <w:rPr>
          <w:rFonts w:ascii="Cambria" w:hAnsi="Cambria"/>
          <w:sz w:val="28"/>
          <w:szCs w:val="28"/>
        </w:rPr>
      </w:pPr>
      <w:r w:rsidRPr="00990328">
        <w:rPr>
          <w:rFonts w:ascii="Cambria" w:hAnsi="Cambria"/>
          <w:b/>
          <w:bCs/>
          <w:sz w:val="28"/>
          <w:szCs w:val="28"/>
          <w:u w:val="single"/>
        </w:rPr>
        <w:t>Alumna:</w:t>
      </w:r>
      <w:r>
        <w:rPr>
          <w:rFonts w:ascii="Cambria" w:hAnsi="Cambria"/>
          <w:sz w:val="28"/>
          <w:szCs w:val="28"/>
        </w:rPr>
        <w:t xml:space="preserve"> Dibeth Atziri Carreón</w:t>
      </w:r>
    </w:p>
    <w:p w14:paraId="221C6FD5" w14:textId="77777777" w:rsidR="00990328" w:rsidRPr="00990328" w:rsidRDefault="00990328" w:rsidP="008F3466">
      <w:pPr>
        <w:jc w:val="center"/>
        <w:rPr>
          <w:rFonts w:ascii="Cambria" w:hAnsi="Cambria"/>
          <w:i/>
          <w:iCs/>
          <w:sz w:val="28"/>
          <w:szCs w:val="28"/>
        </w:rPr>
      </w:pPr>
      <w:r w:rsidRPr="00990328">
        <w:rPr>
          <w:rFonts w:ascii="Cambria" w:hAnsi="Cambria"/>
          <w:i/>
          <w:iCs/>
          <w:sz w:val="28"/>
          <w:szCs w:val="28"/>
        </w:rPr>
        <w:t>N°L. 5</w:t>
      </w:r>
    </w:p>
    <w:p w14:paraId="276F5292" w14:textId="299DB458" w:rsidR="008F3466" w:rsidRDefault="008F3466" w:rsidP="008F3466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Cuarto Semestre, Sección B</w:t>
      </w:r>
    </w:p>
    <w:p w14:paraId="4C039732" w14:textId="054C8837" w:rsidR="008F3466" w:rsidRDefault="008F3466" w:rsidP="008F3466">
      <w:pPr>
        <w:jc w:val="center"/>
        <w:rPr>
          <w:rFonts w:ascii="Cambria" w:hAnsi="Cambria"/>
          <w:sz w:val="28"/>
          <w:szCs w:val="28"/>
        </w:rPr>
      </w:pPr>
      <w:r w:rsidRPr="008F3466">
        <w:rPr>
          <w:rFonts w:ascii="Cambria" w:hAnsi="Cambria"/>
          <w:b/>
          <w:bCs/>
          <w:sz w:val="28"/>
          <w:szCs w:val="28"/>
          <w:u w:val="single"/>
        </w:rPr>
        <w:t>Docente:</w:t>
      </w:r>
      <w:r>
        <w:rPr>
          <w:rFonts w:ascii="Cambria" w:hAnsi="Cambria"/>
          <w:sz w:val="28"/>
          <w:szCs w:val="28"/>
        </w:rPr>
        <w:t xml:space="preserve"> Daniel Diaz Gutiérrez</w:t>
      </w:r>
    </w:p>
    <w:p w14:paraId="6412625F" w14:textId="72292ECB" w:rsidR="008F3466" w:rsidRDefault="008F3466" w:rsidP="008F3466">
      <w:pPr>
        <w:jc w:val="center"/>
        <w:rPr>
          <w:rFonts w:ascii="Cambria" w:hAnsi="Cambria"/>
          <w:sz w:val="28"/>
          <w:szCs w:val="28"/>
        </w:rPr>
      </w:pPr>
      <w:r w:rsidRPr="008F3466">
        <w:rPr>
          <w:rFonts w:ascii="Cambria" w:hAnsi="Cambria"/>
          <w:b/>
          <w:bCs/>
          <w:sz w:val="28"/>
          <w:szCs w:val="28"/>
          <w:u w:val="single"/>
        </w:rPr>
        <w:t>Curso:</w:t>
      </w:r>
      <w:r>
        <w:rPr>
          <w:rFonts w:ascii="Cambria" w:hAnsi="Cambria"/>
          <w:sz w:val="28"/>
          <w:szCs w:val="28"/>
        </w:rPr>
        <w:t xml:space="preserve"> OPTATIVO- FILOSOFÍA</w:t>
      </w:r>
    </w:p>
    <w:p w14:paraId="30F5125D" w14:textId="44CE53ED" w:rsidR="008F3466" w:rsidRDefault="008F3466" w:rsidP="008F3466">
      <w:pPr>
        <w:jc w:val="center"/>
        <w:rPr>
          <w:rFonts w:ascii="Cambria" w:hAnsi="Cambria"/>
          <w:sz w:val="28"/>
          <w:szCs w:val="28"/>
        </w:rPr>
      </w:pPr>
    </w:p>
    <w:p w14:paraId="3A767248" w14:textId="0B35DE75" w:rsidR="008F3466" w:rsidRPr="008F3466" w:rsidRDefault="008F3466" w:rsidP="008F3466">
      <w:pPr>
        <w:jc w:val="center"/>
        <w:rPr>
          <w:rFonts w:ascii="Cambria" w:hAnsi="Cambria"/>
          <w:i/>
          <w:iCs/>
          <w:sz w:val="32"/>
          <w:szCs w:val="32"/>
        </w:rPr>
      </w:pPr>
      <w:r w:rsidRPr="008F3466">
        <w:rPr>
          <w:rFonts w:ascii="Cambria" w:hAnsi="Cambria"/>
          <w:i/>
          <w:iCs/>
          <w:sz w:val="32"/>
          <w:szCs w:val="32"/>
        </w:rPr>
        <w:t>“Conceptos Básicos de Filosofía de la Educación”</w:t>
      </w:r>
    </w:p>
    <w:p w14:paraId="7ADFA463" w14:textId="70B26884" w:rsidR="008F3466" w:rsidRDefault="008F3466" w:rsidP="008F3466">
      <w:pPr>
        <w:jc w:val="center"/>
        <w:rPr>
          <w:rFonts w:ascii="Cambria" w:hAnsi="Cambria"/>
          <w:sz w:val="28"/>
          <w:szCs w:val="28"/>
        </w:rPr>
      </w:pPr>
    </w:p>
    <w:p w14:paraId="07608838" w14:textId="2CA3E73A" w:rsidR="008F3466" w:rsidRDefault="008F3466" w:rsidP="008F3466">
      <w:pPr>
        <w:jc w:val="center"/>
        <w:rPr>
          <w:rFonts w:ascii="Cambria" w:hAnsi="Cambria"/>
          <w:sz w:val="28"/>
          <w:szCs w:val="28"/>
        </w:rPr>
      </w:pPr>
      <w:r w:rsidRPr="008F3466">
        <w:rPr>
          <w:rFonts w:ascii="Cambria" w:hAnsi="Cambria"/>
          <w:b/>
          <w:bCs/>
          <w:sz w:val="28"/>
          <w:szCs w:val="28"/>
          <w:u w:val="single"/>
        </w:rPr>
        <w:t>Unidad I.</w:t>
      </w:r>
      <w:r>
        <w:rPr>
          <w:rFonts w:ascii="Cambria" w:hAnsi="Cambria"/>
          <w:sz w:val="28"/>
          <w:szCs w:val="28"/>
        </w:rPr>
        <w:t xml:space="preserve"> Introducción y Conceptos Básicos de Filosofía de la Educación</w:t>
      </w:r>
    </w:p>
    <w:p w14:paraId="26EA62CE" w14:textId="57633CC2" w:rsidR="008F3466" w:rsidRPr="008F3466" w:rsidRDefault="008F3466" w:rsidP="008F3466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8F3466">
        <w:rPr>
          <w:rFonts w:ascii="Cambria" w:hAnsi="Cambria"/>
          <w:b/>
          <w:bCs/>
          <w:i/>
          <w:iCs/>
          <w:sz w:val="28"/>
          <w:szCs w:val="28"/>
        </w:rPr>
        <w:t>Competencias a desarrollar: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8F3466" w:rsidRPr="008F3466" w14:paraId="10713C90" w14:textId="77777777" w:rsidTr="008F3466">
        <w:trPr>
          <w:tblCellSpacing w:w="15" w:type="dxa"/>
        </w:trPr>
        <w:tc>
          <w:tcPr>
            <w:tcW w:w="0" w:type="auto"/>
            <w:hideMark/>
          </w:tcPr>
          <w:p w14:paraId="46579D34" w14:textId="77777777" w:rsidR="008F3466" w:rsidRPr="008F3466" w:rsidRDefault="008F3466" w:rsidP="008F3466">
            <w:pPr>
              <w:spacing w:after="0" w:line="240" w:lineRule="auto"/>
              <w:ind w:left="60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s-MX"/>
              </w:rPr>
            </w:pPr>
            <w:r w:rsidRPr="008F3466">
              <w:rPr>
                <w:rFonts w:ascii="Cambria" w:eastAsia="Times New Roman" w:hAnsi="Cambria" w:cs="Times New Roman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04094774" wp14:editId="7306D5D3">
                  <wp:extent cx="106680" cy="106680"/>
                  <wp:effectExtent l="0" t="0" r="762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A36B958" w14:textId="77777777" w:rsidR="008F3466" w:rsidRPr="008F3466" w:rsidRDefault="008F3466" w:rsidP="008F3466">
            <w:pPr>
              <w:spacing w:after="0" w:line="240" w:lineRule="auto"/>
              <w:ind w:left="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s-MX"/>
              </w:rPr>
            </w:pPr>
            <w:r w:rsidRPr="008F3466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632D20C0" w14:textId="77777777" w:rsidR="008F3466" w:rsidRPr="008F3466" w:rsidRDefault="008F3466" w:rsidP="008F3466">
      <w:pPr>
        <w:spacing w:after="0" w:line="240" w:lineRule="auto"/>
        <w:rPr>
          <w:rFonts w:ascii="Cambria" w:eastAsia="Times New Roman" w:hAnsi="Cambria" w:cs="Times New Roman"/>
          <w:vanish/>
          <w:sz w:val="28"/>
          <w:szCs w:val="2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8F3466" w:rsidRPr="008F3466" w14:paraId="7F94A19F" w14:textId="77777777" w:rsidTr="008F3466">
        <w:trPr>
          <w:tblCellSpacing w:w="15" w:type="dxa"/>
        </w:trPr>
        <w:tc>
          <w:tcPr>
            <w:tcW w:w="0" w:type="auto"/>
            <w:hideMark/>
          </w:tcPr>
          <w:p w14:paraId="554E47AE" w14:textId="77777777" w:rsidR="008F3466" w:rsidRPr="008F3466" w:rsidRDefault="008F3466" w:rsidP="008F3466">
            <w:pPr>
              <w:spacing w:after="0" w:line="240" w:lineRule="auto"/>
              <w:ind w:left="60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s-MX"/>
              </w:rPr>
            </w:pPr>
            <w:r w:rsidRPr="008F3466">
              <w:rPr>
                <w:rFonts w:ascii="Cambria" w:eastAsia="Times New Roman" w:hAnsi="Cambria" w:cs="Times New Roman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6845F1B1" wp14:editId="5E55FED2">
                  <wp:extent cx="106680" cy="106680"/>
                  <wp:effectExtent l="0" t="0" r="762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720C790" w14:textId="77777777" w:rsidR="008F3466" w:rsidRPr="008F3466" w:rsidRDefault="008F3466" w:rsidP="008F3466">
            <w:pPr>
              <w:spacing w:after="0" w:line="240" w:lineRule="auto"/>
              <w:ind w:left="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s-MX"/>
              </w:rPr>
            </w:pPr>
            <w:r w:rsidRPr="008F3466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3A8E7131" w14:textId="5B60B033" w:rsidR="008F3466" w:rsidRDefault="008F3466" w:rsidP="008F3466">
      <w:pPr>
        <w:jc w:val="center"/>
        <w:rPr>
          <w:rFonts w:ascii="Cambria" w:hAnsi="Cambria"/>
          <w:sz w:val="28"/>
          <w:szCs w:val="28"/>
        </w:rPr>
      </w:pPr>
    </w:p>
    <w:p w14:paraId="27546BF8" w14:textId="6CBEE1F5" w:rsidR="008F3466" w:rsidRDefault="008F3466" w:rsidP="008F3466">
      <w:pPr>
        <w:jc w:val="center"/>
        <w:rPr>
          <w:rFonts w:ascii="Cambria" w:hAnsi="Cambria"/>
          <w:sz w:val="28"/>
          <w:szCs w:val="28"/>
        </w:rPr>
      </w:pPr>
    </w:p>
    <w:p w14:paraId="71EF5E2D" w14:textId="421B693E" w:rsidR="008F3466" w:rsidRDefault="008F3466" w:rsidP="008F3466">
      <w:pPr>
        <w:jc w:val="center"/>
        <w:rPr>
          <w:rFonts w:ascii="Cambria" w:hAnsi="Cambria"/>
          <w:sz w:val="28"/>
          <w:szCs w:val="28"/>
        </w:rPr>
      </w:pPr>
    </w:p>
    <w:p w14:paraId="2B522F94" w14:textId="0AF816C9" w:rsidR="008F3466" w:rsidRDefault="008F3466" w:rsidP="008F3466">
      <w:pPr>
        <w:jc w:val="center"/>
        <w:rPr>
          <w:rFonts w:ascii="Cambria" w:hAnsi="Cambria"/>
          <w:sz w:val="28"/>
          <w:szCs w:val="28"/>
        </w:rPr>
      </w:pPr>
    </w:p>
    <w:p w14:paraId="6B5BDE49" w14:textId="67BC2169" w:rsidR="008F3466" w:rsidRDefault="008F3466" w:rsidP="008F346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19 de marzo de 2021                                                                      Saltillo, Coahuila</w:t>
      </w:r>
    </w:p>
    <w:p w14:paraId="375A9BE7" w14:textId="59531E56" w:rsidR="00E9291F" w:rsidRDefault="00E9291F" w:rsidP="00E9291F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E9291F">
        <w:rPr>
          <w:rFonts w:ascii="Cambria" w:hAnsi="Cambria"/>
          <w:b/>
          <w:bCs/>
          <w:sz w:val="28"/>
          <w:szCs w:val="28"/>
          <w:u w:val="single"/>
        </w:rPr>
        <w:lastRenderedPageBreak/>
        <w:t>LA ARGUMENTACIÓN Y SU APLICACIÓN</w:t>
      </w:r>
    </w:p>
    <w:p w14:paraId="64BFAFF8" w14:textId="3561A3FD" w:rsidR="00E9291F" w:rsidRDefault="008807C6" w:rsidP="008807C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Según autores Plantín y Warley (2011), la argumentación es </w:t>
      </w:r>
      <w:r w:rsidRPr="006549B9">
        <w:rPr>
          <w:rFonts w:ascii="Cambria" w:hAnsi="Cambria"/>
          <w:i/>
          <w:iCs/>
          <w:sz w:val="24"/>
          <w:szCs w:val="24"/>
        </w:rPr>
        <w:t>“</w:t>
      </w:r>
      <w:r w:rsidRPr="006549B9">
        <w:rPr>
          <w:rFonts w:ascii="Cambria" w:hAnsi="Cambria"/>
          <w:i/>
          <w:iCs/>
          <w:sz w:val="24"/>
          <w:szCs w:val="24"/>
        </w:rPr>
        <w:t>una actividad lingüística, que requiere unas competencias gramaticales y pragmáticas y también interaccionales</w:t>
      </w:r>
      <w:r w:rsidRPr="006549B9">
        <w:rPr>
          <w:rFonts w:ascii="Cambria" w:hAnsi="Cambria"/>
          <w:i/>
          <w:iCs/>
          <w:sz w:val="24"/>
          <w:szCs w:val="24"/>
        </w:rPr>
        <w:t>”,</w:t>
      </w:r>
      <w:r w:rsidRPr="008807C6">
        <w:rPr>
          <w:rFonts w:ascii="Cambria" w:hAnsi="Cambria"/>
          <w:sz w:val="24"/>
          <w:szCs w:val="24"/>
        </w:rPr>
        <w:t xml:space="preserve"> es decir,</w:t>
      </w:r>
      <w:r>
        <w:t xml:space="preserve"> </w:t>
      </w:r>
      <w:r>
        <w:rPr>
          <w:rFonts w:ascii="Cambria" w:hAnsi="Cambria"/>
          <w:sz w:val="24"/>
          <w:szCs w:val="24"/>
        </w:rPr>
        <w:t>es ejercer la función crítica del lenguaje y desarrolla competencias que están ligadas a una práctica del lenguaje en interacción. Estos autores también afirman que</w:t>
      </w:r>
      <w:r w:rsidR="006549B9">
        <w:rPr>
          <w:rFonts w:ascii="Cambria" w:hAnsi="Cambria"/>
          <w:sz w:val="24"/>
          <w:szCs w:val="24"/>
        </w:rPr>
        <w:t xml:space="preserve"> </w:t>
      </w:r>
      <w:r w:rsidR="006549B9" w:rsidRPr="006549B9">
        <w:rPr>
          <w:rFonts w:ascii="Cambria" w:hAnsi="Cambria"/>
          <w:sz w:val="24"/>
          <w:szCs w:val="24"/>
        </w:rPr>
        <w:t>argumentar supone que se manejan tres posturas dentro de un grupo de habla, la de proponente</w:t>
      </w:r>
      <w:r w:rsidR="006549B9" w:rsidRPr="006549B9">
        <w:rPr>
          <w:rFonts w:ascii="Cambria" w:hAnsi="Cambria"/>
          <w:sz w:val="24"/>
          <w:szCs w:val="24"/>
        </w:rPr>
        <w:t xml:space="preserve">, el </w:t>
      </w:r>
      <w:r w:rsidR="006549B9" w:rsidRPr="006549B9">
        <w:rPr>
          <w:rFonts w:ascii="Cambria" w:hAnsi="Cambria"/>
          <w:sz w:val="24"/>
          <w:szCs w:val="24"/>
        </w:rPr>
        <w:t>oponente</w:t>
      </w:r>
      <w:r w:rsidR="006549B9" w:rsidRPr="006549B9">
        <w:rPr>
          <w:rFonts w:ascii="Cambria" w:hAnsi="Cambria"/>
          <w:sz w:val="24"/>
          <w:szCs w:val="24"/>
        </w:rPr>
        <w:t xml:space="preserve">, </w:t>
      </w:r>
      <w:r w:rsidR="006549B9" w:rsidRPr="006549B9">
        <w:rPr>
          <w:rFonts w:ascii="Cambria" w:hAnsi="Cambria"/>
          <w:sz w:val="24"/>
          <w:szCs w:val="24"/>
        </w:rPr>
        <w:t>y finalmente la de tercero</w:t>
      </w:r>
      <w:r w:rsidR="006549B9" w:rsidRPr="006549B9">
        <w:rPr>
          <w:rFonts w:ascii="Cambria" w:hAnsi="Cambria"/>
          <w:sz w:val="24"/>
          <w:szCs w:val="24"/>
        </w:rPr>
        <w:t xml:space="preserve"> quien se encuentra en</w:t>
      </w:r>
      <w:r w:rsidR="006549B9" w:rsidRPr="006549B9">
        <w:rPr>
          <w:rFonts w:ascii="Cambria" w:hAnsi="Cambria"/>
          <w:sz w:val="24"/>
          <w:szCs w:val="24"/>
        </w:rPr>
        <w:t xml:space="preserve"> posición de duda</w:t>
      </w:r>
      <w:r w:rsidR="006549B9" w:rsidRPr="006549B9">
        <w:rPr>
          <w:rFonts w:ascii="Cambria" w:hAnsi="Cambria"/>
          <w:sz w:val="24"/>
          <w:szCs w:val="24"/>
        </w:rPr>
        <w:t xml:space="preserve">. </w:t>
      </w:r>
      <w:r w:rsidR="00DC0F02">
        <w:rPr>
          <w:rFonts w:ascii="Cambria" w:hAnsi="Cambria"/>
          <w:sz w:val="24"/>
          <w:szCs w:val="24"/>
        </w:rPr>
        <w:t>Estos integrantes o participantes se pueden definir como:</w:t>
      </w:r>
      <w:r w:rsidR="006549B9" w:rsidRPr="006549B9">
        <w:rPr>
          <w:rFonts w:ascii="Cambria" w:hAnsi="Cambria"/>
          <w:sz w:val="24"/>
          <w:szCs w:val="24"/>
        </w:rPr>
        <w:t xml:space="preserve"> el que afirma en público una posición, el que no está de acuerdo con dicha posición y, por último, el que es capaz de preguntarse, de suspender su juicio y escuchar lo que dicen ambos participantes.</w:t>
      </w:r>
    </w:p>
    <w:p w14:paraId="7DDCFBB8" w14:textId="254DE498" w:rsidR="00DC0F02" w:rsidRDefault="00864711" w:rsidP="008807C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Una de las maneras más atractivas para poner en práctica la argumentación en los niños, es </w:t>
      </w:r>
      <w:r w:rsidR="00C43D8A">
        <w:rPr>
          <w:rFonts w:ascii="Cambria" w:hAnsi="Cambria"/>
          <w:sz w:val="24"/>
          <w:szCs w:val="24"/>
        </w:rPr>
        <w:t>con el uso</w:t>
      </w:r>
      <w:r>
        <w:rPr>
          <w:rFonts w:ascii="Cambria" w:hAnsi="Cambria"/>
          <w:sz w:val="24"/>
          <w:szCs w:val="24"/>
        </w:rPr>
        <w:t xml:space="preserve"> del juego. Según el autor Faigenbaum (2010), durante el juego </w:t>
      </w:r>
      <w:r w:rsidRPr="00864711">
        <w:rPr>
          <w:rFonts w:ascii="Cambria" w:hAnsi="Cambria"/>
          <w:i/>
          <w:iCs/>
          <w:sz w:val="24"/>
          <w:szCs w:val="24"/>
        </w:rPr>
        <w:t>“</w:t>
      </w:r>
      <w:r w:rsidRPr="00864711">
        <w:rPr>
          <w:rFonts w:ascii="Cambria" w:hAnsi="Cambria"/>
          <w:i/>
          <w:iCs/>
          <w:sz w:val="24"/>
          <w:szCs w:val="24"/>
        </w:rPr>
        <w:t>los niños despliegan diversas estrategias argumentativas para sostener y persuadir a sus compañeros de juego de llevar a cabo determinadas acciones y compartir sus posiciones</w:t>
      </w:r>
      <w:r>
        <w:rPr>
          <w:rFonts w:ascii="Cambria" w:hAnsi="Cambria"/>
          <w:i/>
          <w:iCs/>
          <w:sz w:val="24"/>
          <w:szCs w:val="24"/>
        </w:rPr>
        <w:t xml:space="preserve">.” </w:t>
      </w:r>
      <w:r>
        <w:rPr>
          <w:rFonts w:ascii="Cambria" w:hAnsi="Cambria"/>
          <w:sz w:val="24"/>
          <w:szCs w:val="24"/>
        </w:rPr>
        <w:t>En este caso, los niños usan lenguaje argumentativo para persuadir, argumentar, sugerir y/o proponer ideas</w:t>
      </w:r>
      <w:r w:rsidR="00C43D8A">
        <w:rPr>
          <w:rFonts w:ascii="Cambria" w:hAnsi="Cambria"/>
          <w:sz w:val="24"/>
          <w:szCs w:val="24"/>
        </w:rPr>
        <w:t xml:space="preserve">, ya que </w:t>
      </w:r>
      <w:r w:rsidR="00C43D8A" w:rsidRPr="00C43D8A">
        <w:rPr>
          <w:rFonts w:ascii="Cambria" w:hAnsi="Cambria"/>
          <w:sz w:val="24"/>
          <w:szCs w:val="24"/>
        </w:rPr>
        <w:t>el lenguaje es uno de los medios centrales para crear y sostener en la interacción con otros las reglas del juego y desplegar la secuencia narrativa</w:t>
      </w:r>
      <w:r w:rsidR="00C43D8A" w:rsidRPr="00C43D8A">
        <w:rPr>
          <w:rFonts w:ascii="Cambria" w:hAnsi="Cambria"/>
          <w:sz w:val="24"/>
          <w:szCs w:val="24"/>
        </w:rPr>
        <w:t>. E</w:t>
      </w:r>
      <w:r w:rsidR="00C43D8A" w:rsidRPr="00C43D8A">
        <w:rPr>
          <w:rFonts w:ascii="Cambria" w:hAnsi="Cambria"/>
          <w:sz w:val="24"/>
          <w:szCs w:val="24"/>
        </w:rPr>
        <w:t xml:space="preserve">sta situación de interacción </w:t>
      </w:r>
      <w:r w:rsidR="00C43D8A" w:rsidRPr="00C43D8A">
        <w:rPr>
          <w:rFonts w:ascii="Cambria" w:hAnsi="Cambria"/>
          <w:sz w:val="24"/>
          <w:szCs w:val="24"/>
        </w:rPr>
        <w:t>obliga al</w:t>
      </w:r>
      <w:r w:rsidR="00C43D8A" w:rsidRPr="00C43D8A">
        <w:rPr>
          <w:rFonts w:ascii="Cambria" w:hAnsi="Cambria"/>
          <w:sz w:val="24"/>
          <w:szCs w:val="24"/>
        </w:rPr>
        <w:t xml:space="preserve"> niño </w:t>
      </w:r>
      <w:r w:rsidR="00C43D8A" w:rsidRPr="00C43D8A">
        <w:rPr>
          <w:rFonts w:ascii="Cambria" w:hAnsi="Cambria"/>
          <w:sz w:val="24"/>
          <w:szCs w:val="24"/>
        </w:rPr>
        <w:t>a usar sus</w:t>
      </w:r>
      <w:r w:rsidR="00C43D8A" w:rsidRPr="00C43D8A">
        <w:rPr>
          <w:rFonts w:ascii="Cambria" w:hAnsi="Cambria"/>
          <w:sz w:val="24"/>
          <w:szCs w:val="24"/>
        </w:rPr>
        <w:t xml:space="preserve"> recursos lingüísticos para comunicarse con otros de modo tal que éstos puedan comprender las intenciones que lo motivan</w:t>
      </w:r>
      <w:r w:rsidR="00C43D8A">
        <w:rPr>
          <w:rFonts w:ascii="Cambria" w:hAnsi="Cambria"/>
          <w:sz w:val="24"/>
          <w:szCs w:val="24"/>
        </w:rPr>
        <w:t>.</w:t>
      </w:r>
      <w:r w:rsidR="00340075">
        <w:rPr>
          <w:rFonts w:ascii="Cambria" w:hAnsi="Cambria"/>
          <w:sz w:val="24"/>
          <w:szCs w:val="24"/>
        </w:rPr>
        <w:t xml:space="preserve"> </w:t>
      </w:r>
      <w:r w:rsidR="00C43D8A" w:rsidRPr="00C43D8A">
        <w:rPr>
          <w:rFonts w:ascii="Cambria" w:hAnsi="Cambria"/>
          <w:sz w:val="24"/>
          <w:szCs w:val="24"/>
        </w:rPr>
        <w:t xml:space="preserve">Se ha señalado que el juego dramático es un contexto </w:t>
      </w:r>
      <w:r w:rsidR="00C43D8A">
        <w:rPr>
          <w:rFonts w:ascii="Cambria" w:hAnsi="Cambria"/>
          <w:sz w:val="24"/>
          <w:szCs w:val="24"/>
        </w:rPr>
        <w:t>ideal y favorable</w:t>
      </w:r>
      <w:r w:rsidR="00C43D8A" w:rsidRPr="00C43D8A">
        <w:rPr>
          <w:rFonts w:ascii="Cambria" w:hAnsi="Cambria"/>
          <w:sz w:val="24"/>
          <w:szCs w:val="24"/>
        </w:rPr>
        <w:t xml:space="preserve"> para la argumentación dado que las intenciones de los jugadores, el plan de juego y las acciones que lo conforman, son negociados y </w:t>
      </w:r>
      <w:r w:rsidR="00C43D8A">
        <w:rPr>
          <w:rFonts w:ascii="Cambria" w:hAnsi="Cambria"/>
          <w:sz w:val="24"/>
          <w:szCs w:val="24"/>
        </w:rPr>
        <w:t xml:space="preserve">reconstruidos. </w:t>
      </w:r>
    </w:p>
    <w:p w14:paraId="3CC478E3" w14:textId="168FBDB1" w:rsidR="00356C0A" w:rsidRPr="00B333D0" w:rsidRDefault="00D94C41" w:rsidP="00B333D0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la misma forma, el uso de la argumentación se puede impulsar a través de la discusión de los cuentos infantiles, puesto que, según Javier González (2007), </w:t>
      </w:r>
      <w:r w:rsidRPr="00D94C41">
        <w:rPr>
          <w:rFonts w:ascii="Cambria" w:hAnsi="Cambria"/>
          <w:i/>
          <w:iCs/>
          <w:sz w:val="24"/>
          <w:szCs w:val="24"/>
        </w:rPr>
        <w:t>“</w:t>
      </w:r>
      <w:r w:rsidRPr="00D94C41">
        <w:rPr>
          <w:rFonts w:ascii="Cambria" w:hAnsi="Cambria"/>
          <w:i/>
          <w:iCs/>
          <w:sz w:val="24"/>
          <w:szCs w:val="24"/>
        </w:rPr>
        <w:t>Las prácticas discursivas que promueven la argumentación y el razonamiento pueden ser desarrollados en la discusión en clase</w:t>
      </w:r>
      <w:r>
        <w:rPr>
          <w:rFonts w:ascii="Cambria" w:hAnsi="Cambria"/>
          <w:i/>
          <w:iCs/>
          <w:sz w:val="24"/>
          <w:szCs w:val="24"/>
        </w:rPr>
        <w:t xml:space="preserve">.” </w:t>
      </w:r>
      <w:r>
        <w:rPr>
          <w:rFonts w:ascii="Cambria" w:hAnsi="Cambria"/>
          <w:sz w:val="24"/>
          <w:szCs w:val="24"/>
        </w:rPr>
        <w:t xml:space="preserve">Este autor también comenta que </w:t>
      </w:r>
      <w:r w:rsidR="00DF672C">
        <w:rPr>
          <w:rFonts w:ascii="Cambria" w:hAnsi="Cambria"/>
          <w:sz w:val="24"/>
          <w:szCs w:val="24"/>
        </w:rPr>
        <w:t xml:space="preserve">los niños aprenden a argumentar o a usar lenguaje argumentativo en el preescolar por medio de discusiones grupales sobre los cuentos infantiles, pues durante estos la educadora hace preguntas que permiten dar a conocer las opiniones y sugerencias de los alumnos. </w:t>
      </w:r>
    </w:p>
    <w:p w14:paraId="138A4CE4" w14:textId="34C547F7" w:rsidR="008807C6" w:rsidRDefault="008807C6" w:rsidP="008807C6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lastRenderedPageBreak/>
        <w:t>BIBLIOGRAFÍA</w:t>
      </w:r>
    </w:p>
    <w:p w14:paraId="0F66A979" w14:textId="1CC4EA41" w:rsidR="00C977B4" w:rsidRDefault="00C977B4" w:rsidP="00C977B4">
      <w:pPr>
        <w:jc w:val="both"/>
        <w:rPr>
          <w:rFonts w:ascii="Cambria" w:hAnsi="Cambria" w:cstheme="minorHAnsi"/>
          <w:sz w:val="24"/>
          <w:szCs w:val="24"/>
        </w:rPr>
      </w:pPr>
      <w:r w:rsidRPr="00C977B4">
        <w:rPr>
          <w:rFonts w:ascii="Cambria" w:hAnsi="Cambria" w:cstheme="minorHAnsi"/>
          <w:b/>
          <w:bCs/>
          <w:sz w:val="24"/>
          <w:szCs w:val="24"/>
        </w:rPr>
        <w:t>Faigenbaum, G.</w:t>
      </w:r>
      <w:r w:rsidRPr="00C977B4">
        <w:rPr>
          <w:rFonts w:ascii="Cambria" w:hAnsi="Cambria" w:cstheme="minorHAnsi"/>
          <w:sz w:val="24"/>
          <w:szCs w:val="24"/>
        </w:rPr>
        <w:t xml:space="preserve"> (2010). La argumentación en los niños. En J. Castorina (Ed.), </w:t>
      </w:r>
      <w:r w:rsidRPr="00C977B4">
        <w:rPr>
          <w:rFonts w:ascii="Cambria" w:hAnsi="Cambria" w:cstheme="minorHAnsi"/>
          <w:i/>
          <w:iCs/>
          <w:sz w:val="24"/>
          <w:szCs w:val="24"/>
        </w:rPr>
        <w:t>Desarrollo del conocimiento social: prácticas, discursos y teoría.</w:t>
      </w:r>
      <w:r w:rsidRPr="00C977B4">
        <w:rPr>
          <w:rFonts w:ascii="Cambria" w:hAnsi="Cambria" w:cstheme="minorHAnsi"/>
          <w:sz w:val="24"/>
          <w:szCs w:val="24"/>
        </w:rPr>
        <w:t xml:space="preserve"> Buenos Aires: Miño y Dávila</w:t>
      </w:r>
    </w:p>
    <w:p w14:paraId="495B7569" w14:textId="501D7A28" w:rsidR="00C43D8A" w:rsidRDefault="00C43D8A" w:rsidP="00C977B4">
      <w:pPr>
        <w:jc w:val="both"/>
        <w:rPr>
          <w:rFonts w:ascii="Cambria" w:hAnsi="Cambria"/>
          <w:sz w:val="24"/>
          <w:szCs w:val="24"/>
        </w:rPr>
      </w:pPr>
      <w:r w:rsidRPr="00C43D8A">
        <w:rPr>
          <w:rFonts w:ascii="Cambria" w:hAnsi="Cambria"/>
          <w:b/>
          <w:bCs/>
          <w:sz w:val="24"/>
          <w:szCs w:val="24"/>
        </w:rPr>
        <w:t>Faigenbaum, G.</w:t>
      </w:r>
      <w:r w:rsidRPr="00C43D8A">
        <w:rPr>
          <w:rFonts w:ascii="Cambria" w:hAnsi="Cambria"/>
          <w:sz w:val="24"/>
          <w:szCs w:val="24"/>
        </w:rPr>
        <w:t xml:space="preserve"> (2012). El desarrollo de las habilidades argumentativas. En J. A. Castorina &amp; M. Carretero (Comps.), Desarrollo Cognitivo y Educación [I]. Los inicios del conocimiento (pp. 292-313). Buenos Aires: Paidós.</w:t>
      </w:r>
    </w:p>
    <w:p w14:paraId="15E44293" w14:textId="377FDE43" w:rsidR="00682446" w:rsidRPr="00A1518F" w:rsidRDefault="00682446" w:rsidP="00C977B4">
      <w:pPr>
        <w:jc w:val="both"/>
        <w:rPr>
          <w:rFonts w:ascii="Cambria" w:hAnsi="Cambria"/>
          <w:b/>
          <w:bCs/>
          <w:sz w:val="48"/>
          <w:szCs w:val="48"/>
          <w:u w:val="single"/>
        </w:rPr>
      </w:pPr>
      <w:r w:rsidRPr="00A1518F">
        <w:rPr>
          <w:rFonts w:ascii="Cambria" w:hAnsi="Cambria"/>
          <w:b/>
          <w:bCs/>
          <w:sz w:val="24"/>
          <w:szCs w:val="24"/>
        </w:rPr>
        <w:t>González García, J</w:t>
      </w:r>
      <w:r w:rsidR="00A1518F" w:rsidRPr="00A1518F">
        <w:rPr>
          <w:rFonts w:ascii="Cambria" w:hAnsi="Cambria"/>
          <w:b/>
          <w:bCs/>
          <w:sz w:val="24"/>
          <w:szCs w:val="24"/>
        </w:rPr>
        <w:t>.</w:t>
      </w:r>
      <w:r w:rsidR="00A1518F" w:rsidRPr="00A1518F">
        <w:rPr>
          <w:rFonts w:ascii="Cambria" w:hAnsi="Cambria"/>
          <w:sz w:val="24"/>
          <w:szCs w:val="24"/>
        </w:rPr>
        <w:t xml:space="preserve"> (2007).</w:t>
      </w:r>
      <w:r w:rsidRPr="00A1518F">
        <w:rPr>
          <w:rFonts w:ascii="Cambria" w:hAnsi="Cambria"/>
          <w:sz w:val="24"/>
          <w:szCs w:val="24"/>
        </w:rPr>
        <w:t xml:space="preserve"> La argumentación a partir de cuentos infantiles Revista Mexicana de Investigación Educativa, vol. 12, pp. 657-677 Consejo Mexicano de Investigación Educativa, A.C. Distrito Federal, México</w:t>
      </w:r>
    </w:p>
    <w:p w14:paraId="7952AE9C" w14:textId="1688EA01" w:rsidR="008807C6" w:rsidRDefault="008807C6" w:rsidP="008807C6">
      <w:pPr>
        <w:rPr>
          <w:rFonts w:ascii="Cambria" w:hAnsi="Cambria" w:cstheme="minorHAnsi"/>
          <w:sz w:val="24"/>
          <w:szCs w:val="24"/>
        </w:rPr>
      </w:pPr>
      <w:r w:rsidRPr="008807C6">
        <w:rPr>
          <w:rFonts w:ascii="Cambria" w:hAnsi="Cambria" w:cstheme="minorHAnsi"/>
          <w:b/>
          <w:bCs/>
          <w:sz w:val="24"/>
          <w:szCs w:val="24"/>
        </w:rPr>
        <w:t>Plantin, C., y. Muñoz, N.</w:t>
      </w:r>
      <w:r w:rsidRPr="008807C6">
        <w:rPr>
          <w:rFonts w:ascii="Cambria" w:hAnsi="Cambria" w:cstheme="minorHAnsi"/>
          <w:sz w:val="24"/>
          <w:szCs w:val="24"/>
        </w:rPr>
        <w:t xml:space="preserve"> (2011). El hacer argumentativo. Buenos Aires: Biblos.</w:t>
      </w:r>
    </w:p>
    <w:p w14:paraId="1D85E595" w14:textId="77777777" w:rsidR="00C977B4" w:rsidRPr="008807C6" w:rsidRDefault="00C977B4" w:rsidP="008807C6">
      <w:pPr>
        <w:rPr>
          <w:rFonts w:ascii="Cambria" w:hAnsi="Cambria" w:cstheme="minorHAnsi"/>
          <w:sz w:val="24"/>
          <w:szCs w:val="24"/>
        </w:rPr>
      </w:pPr>
    </w:p>
    <w:p w14:paraId="17F589C4" w14:textId="77777777" w:rsidR="008807C6" w:rsidRPr="008F3466" w:rsidRDefault="008807C6" w:rsidP="008F3466">
      <w:pPr>
        <w:rPr>
          <w:rFonts w:ascii="Cambria" w:hAnsi="Cambria"/>
          <w:sz w:val="28"/>
          <w:szCs w:val="28"/>
        </w:rPr>
      </w:pPr>
    </w:p>
    <w:sectPr w:rsidR="008807C6" w:rsidRPr="008F3466" w:rsidSect="008F3466">
      <w:pgSz w:w="12240" w:h="15840"/>
      <w:pgMar w:top="1417" w:right="1701" w:bottom="1417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66"/>
    <w:rsid w:val="002133B0"/>
    <w:rsid w:val="00340075"/>
    <w:rsid w:val="00356C0A"/>
    <w:rsid w:val="005559AF"/>
    <w:rsid w:val="006549B9"/>
    <w:rsid w:val="00682446"/>
    <w:rsid w:val="00864711"/>
    <w:rsid w:val="008807C6"/>
    <w:rsid w:val="008F3466"/>
    <w:rsid w:val="00990328"/>
    <w:rsid w:val="00A1518F"/>
    <w:rsid w:val="00B333D0"/>
    <w:rsid w:val="00C43D8A"/>
    <w:rsid w:val="00C977B4"/>
    <w:rsid w:val="00D94C41"/>
    <w:rsid w:val="00DC0F02"/>
    <w:rsid w:val="00DF0CC3"/>
    <w:rsid w:val="00DF672C"/>
    <w:rsid w:val="00E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188A"/>
  <w15:chartTrackingRefBased/>
  <w15:docId w15:val="{99EBD1D0-5BD6-4402-A8FD-8483B644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Dibeth Carreon</cp:lastModifiedBy>
  <cp:revision>19</cp:revision>
  <dcterms:created xsi:type="dcterms:W3CDTF">2021-03-19T21:45:00Z</dcterms:created>
  <dcterms:modified xsi:type="dcterms:W3CDTF">2021-03-20T01:18:00Z</dcterms:modified>
</cp:coreProperties>
</file>