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96" w:rsidRPr="004F1184" w:rsidRDefault="00876496" w:rsidP="008764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6079CC7" wp14:editId="1D167F66">
            <wp:simplePos x="0" y="0"/>
            <wp:positionH relativeFrom="column">
              <wp:posOffset>-389890</wp:posOffset>
            </wp:positionH>
            <wp:positionV relativeFrom="page">
              <wp:posOffset>403225</wp:posOffset>
            </wp:positionV>
            <wp:extent cx="720000" cy="931895"/>
            <wp:effectExtent l="0" t="0" r="4445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876496" w:rsidRPr="004F1184" w:rsidRDefault="00876496" w:rsidP="008764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876496" w:rsidRPr="004F1184" w:rsidRDefault="00876496" w:rsidP="008764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4F1184">
        <w:rPr>
          <w:rFonts w:ascii="Arial" w:hAnsi="Arial" w:cs="Arial"/>
          <w:sz w:val="24"/>
          <w:szCs w:val="24"/>
        </w:rPr>
        <w:t>Ciclo escolar 2020-2021</w:t>
      </w:r>
    </w:p>
    <w:p w:rsidR="00876496" w:rsidRDefault="00876496" w:rsidP="008764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Forma, espacio y medida. </w:t>
      </w:r>
    </w:p>
    <w:p w:rsidR="00876496" w:rsidRDefault="00876496" w:rsidP="008764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I </w:t>
      </w:r>
    </w:p>
    <w:p w:rsidR="00224EF1" w:rsidRPr="00224EF1" w:rsidRDefault="00224EF1" w:rsidP="00876496">
      <w:pPr>
        <w:spacing w:line="360" w:lineRule="auto"/>
        <w:jc w:val="center"/>
        <w:rPr>
          <w:rFonts w:ascii="Arial" w:hAnsi="Arial" w:cs="Arial"/>
        </w:rPr>
      </w:pPr>
      <w:r w:rsidRPr="00224EF1">
        <w:rPr>
          <w:rFonts w:ascii="Verdana" w:hAnsi="Verdana"/>
          <w:color w:val="000000"/>
          <w:sz w:val="20"/>
          <w:szCs w:val="20"/>
        </w:rPr>
        <w:t>EL PENSAMIENTO GEOMÉTRICO, SU ENSEÑANZA Y APRENDIZAJE EN EL PLAN Y PROGRAMA DE ESTUDIO DE EDUCACIÓN PREESCOLAR</w:t>
      </w:r>
    </w:p>
    <w:p w:rsidR="00876496" w:rsidRPr="00876496" w:rsidRDefault="00876496" w:rsidP="0087649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Matriz analítica.</w:t>
      </w:r>
    </w:p>
    <w:p w:rsidR="00876496" w:rsidRDefault="00876496" w:rsidP="008764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 w:rsidR="00224EF1">
        <w:rPr>
          <w:rFonts w:ascii="Arial" w:hAnsi="Arial" w:cs="Arial"/>
          <w:sz w:val="24"/>
          <w:szCs w:val="24"/>
        </w:rPr>
        <w:t>Oralia Gabriela Palmares Villarreal</w:t>
      </w:r>
    </w:p>
    <w:p w:rsidR="00876496" w:rsidRPr="004F1184" w:rsidRDefault="00876496" w:rsidP="008764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C</w:t>
      </w:r>
    </w:p>
    <w:p w:rsidR="00876496" w:rsidRPr="004F1184" w:rsidRDefault="00876496" w:rsidP="008764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</w:p>
    <w:p w:rsidR="00876496" w:rsidRPr="00224EF1" w:rsidRDefault="00876496" w:rsidP="00224E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Samantha de León Huitrón Ramos      Número de lista: </w:t>
      </w:r>
      <w:r>
        <w:rPr>
          <w:rFonts w:ascii="Arial" w:hAnsi="Arial" w:cs="Arial"/>
          <w:sz w:val="24"/>
          <w:szCs w:val="24"/>
        </w:rPr>
        <w:t>4</w:t>
      </w:r>
    </w:p>
    <w:p w:rsidR="00876496" w:rsidRPr="00224EF1" w:rsidRDefault="00876496" w:rsidP="00224EF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4EF1">
        <w:rPr>
          <w:rFonts w:ascii="Arial" w:hAnsi="Arial" w:cs="Arial"/>
        </w:rPr>
        <w:t>Competencias de unidad:</w:t>
      </w:r>
      <w:r w:rsidR="00224EF1">
        <w:rPr>
          <w:rFonts w:ascii="Arial" w:hAnsi="Arial" w:cs="Arial"/>
        </w:rPr>
        <w:t xml:space="preserve"> </w:t>
      </w:r>
      <w:r w:rsidRPr="00224EF1">
        <w:rPr>
          <w:rFonts w:ascii="Verdana" w:hAnsi="Verdana"/>
          <w:color w:val="000000"/>
        </w:rPr>
        <w:t>Aplica el plan y programas de estudio para alcanzar los propósitos educativos y contribuir al pleno desenvolvimiento de las capacidades de sus alumnos.</w:t>
      </w:r>
    </w:p>
    <w:p w:rsidR="00876496" w:rsidRPr="00224EF1" w:rsidRDefault="00876496" w:rsidP="0087649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24EF1">
        <w:rPr>
          <w:rFonts w:ascii="Arial" w:hAnsi="Arial" w:cs="Arial"/>
          <w:sz w:val="20"/>
          <w:szCs w:val="20"/>
        </w:rPr>
        <w:t xml:space="preserve">Saltillo, Coahuila de Zaragoza. </w:t>
      </w:r>
    </w:p>
    <w:p w:rsidR="00876496" w:rsidRPr="00224EF1" w:rsidRDefault="00876496" w:rsidP="00876496">
      <w:pPr>
        <w:jc w:val="right"/>
        <w:rPr>
          <w:sz w:val="18"/>
          <w:szCs w:val="18"/>
        </w:rPr>
      </w:pPr>
      <w:r w:rsidRPr="00224EF1">
        <w:rPr>
          <w:rFonts w:ascii="Arial" w:hAnsi="Arial" w:cs="Arial"/>
          <w:sz w:val="20"/>
          <w:szCs w:val="20"/>
        </w:rPr>
        <w:tab/>
      </w:r>
      <w:r w:rsidRPr="00224EF1">
        <w:rPr>
          <w:rFonts w:ascii="Arial" w:hAnsi="Arial" w:cs="Arial"/>
          <w:sz w:val="20"/>
          <w:szCs w:val="20"/>
        </w:rPr>
        <w:tab/>
        <w:t>Marzo de 2021</w:t>
      </w:r>
    </w:p>
    <w:p w:rsidR="00352C09" w:rsidRDefault="00352C09"/>
    <w:tbl>
      <w:tblPr>
        <w:tblStyle w:val="Tablaconcuadrcula"/>
        <w:tblW w:w="14034" w:type="dxa"/>
        <w:tblInd w:w="-5" w:type="dxa"/>
        <w:tblLook w:val="04A0" w:firstRow="1" w:lastRow="0" w:firstColumn="1" w:lastColumn="0" w:noHBand="0" w:noVBand="1"/>
      </w:tblPr>
      <w:tblGrid>
        <w:gridCol w:w="932"/>
        <w:gridCol w:w="1373"/>
        <w:gridCol w:w="1097"/>
        <w:gridCol w:w="993"/>
        <w:gridCol w:w="1134"/>
        <w:gridCol w:w="2551"/>
        <w:gridCol w:w="2835"/>
        <w:gridCol w:w="3119"/>
      </w:tblGrid>
      <w:tr w:rsidR="00DA2327" w:rsidTr="00584C8B">
        <w:tc>
          <w:tcPr>
            <w:tcW w:w="2305" w:type="dxa"/>
            <w:gridSpan w:val="2"/>
          </w:tcPr>
          <w:p w:rsidR="00352C09" w:rsidRPr="00352C09" w:rsidRDefault="00352C09" w:rsidP="00352C09">
            <w:pPr>
              <w:jc w:val="center"/>
              <w:rPr>
                <w:b/>
                <w:bCs/>
              </w:rPr>
            </w:pPr>
            <w:r w:rsidRPr="00352C09">
              <w:rPr>
                <w:b/>
                <w:bCs/>
                <w:sz w:val="20"/>
                <w:szCs w:val="20"/>
              </w:rPr>
              <w:lastRenderedPageBreak/>
              <w:t>APRENDIZAJES CLAVE</w:t>
            </w:r>
          </w:p>
        </w:tc>
        <w:tc>
          <w:tcPr>
            <w:tcW w:w="3224" w:type="dxa"/>
            <w:gridSpan w:val="3"/>
          </w:tcPr>
          <w:p w:rsidR="00352C09" w:rsidRPr="00352C09" w:rsidRDefault="00352C09" w:rsidP="00352C09">
            <w:pPr>
              <w:jc w:val="center"/>
              <w:rPr>
                <w:b/>
                <w:bCs/>
              </w:rPr>
            </w:pPr>
            <w:r w:rsidRPr="00352C09">
              <w:rPr>
                <w:b/>
                <w:bCs/>
                <w:sz w:val="20"/>
                <w:szCs w:val="20"/>
              </w:rPr>
              <w:t>APRENDIZAJES ESPERADOS</w:t>
            </w:r>
          </w:p>
        </w:tc>
        <w:tc>
          <w:tcPr>
            <w:tcW w:w="2551" w:type="dxa"/>
          </w:tcPr>
          <w:p w:rsidR="00352C09" w:rsidRPr="00352C09" w:rsidRDefault="00352C09" w:rsidP="00352C09">
            <w:pPr>
              <w:jc w:val="center"/>
              <w:rPr>
                <w:b/>
                <w:bCs/>
              </w:rPr>
            </w:pPr>
            <w:r w:rsidRPr="00352C09">
              <w:rPr>
                <w:b/>
                <w:bCs/>
                <w:sz w:val="20"/>
                <w:szCs w:val="20"/>
              </w:rPr>
              <w:t>NIVEL DE PROFUNDIDAD</w:t>
            </w:r>
          </w:p>
        </w:tc>
        <w:tc>
          <w:tcPr>
            <w:tcW w:w="2835" w:type="dxa"/>
          </w:tcPr>
          <w:p w:rsidR="00352C09" w:rsidRPr="00352C09" w:rsidRDefault="00352C09" w:rsidP="00352C09">
            <w:pPr>
              <w:jc w:val="center"/>
              <w:rPr>
                <w:b/>
                <w:bCs/>
              </w:rPr>
            </w:pPr>
            <w:r w:rsidRPr="00352C09">
              <w:rPr>
                <w:b/>
                <w:bCs/>
                <w:sz w:val="20"/>
                <w:szCs w:val="20"/>
              </w:rPr>
              <w:t>QUE DEBEN SABER</w:t>
            </w:r>
          </w:p>
        </w:tc>
        <w:tc>
          <w:tcPr>
            <w:tcW w:w="3119" w:type="dxa"/>
          </w:tcPr>
          <w:p w:rsidR="00352C09" w:rsidRPr="00352C09" w:rsidRDefault="00352C09" w:rsidP="00352C09">
            <w:pPr>
              <w:jc w:val="center"/>
              <w:rPr>
                <w:b/>
                <w:bCs/>
              </w:rPr>
            </w:pPr>
            <w:r w:rsidRPr="00352C09">
              <w:rPr>
                <w:b/>
                <w:bCs/>
                <w:sz w:val="20"/>
                <w:szCs w:val="20"/>
              </w:rPr>
              <w:t>QUE DEBEN SABER HACER</w:t>
            </w:r>
          </w:p>
        </w:tc>
      </w:tr>
      <w:tr w:rsidR="004C5B0E" w:rsidTr="00584C8B">
        <w:tc>
          <w:tcPr>
            <w:tcW w:w="932" w:type="dxa"/>
          </w:tcPr>
          <w:p w:rsidR="00352C09" w:rsidRPr="00352C09" w:rsidRDefault="00352C09" w:rsidP="0035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C09">
              <w:rPr>
                <w:b/>
                <w:bCs/>
                <w:sz w:val="20"/>
                <w:szCs w:val="20"/>
              </w:rPr>
              <w:t>EJE</w:t>
            </w:r>
          </w:p>
        </w:tc>
        <w:tc>
          <w:tcPr>
            <w:tcW w:w="1373" w:type="dxa"/>
          </w:tcPr>
          <w:p w:rsidR="00352C09" w:rsidRPr="00352C09" w:rsidRDefault="00352C09" w:rsidP="00352C0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C0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097" w:type="dxa"/>
          </w:tcPr>
          <w:p w:rsidR="00352C09" w:rsidRPr="00352C09" w:rsidRDefault="00352C09" w:rsidP="00352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1º</w:t>
            </w:r>
          </w:p>
        </w:tc>
        <w:tc>
          <w:tcPr>
            <w:tcW w:w="993" w:type="dxa"/>
          </w:tcPr>
          <w:p w:rsidR="00352C09" w:rsidRPr="00352C09" w:rsidRDefault="00352C09" w:rsidP="00352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</w:t>
            </w:r>
          </w:p>
        </w:tc>
        <w:tc>
          <w:tcPr>
            <w:tcW w:w="1134" w:type="dxa"/>
          </w:tcPr>
          <w:p w:rsidR="00352C09" w:rsidRPr="00352C09" w:rsidRDefault="00352C09" w:rsidP="00352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3º</w:t>
            </w:r>
          </w:p>
        </w:tc>
        <w:tc>
          <w:tcPr>
            <w:tcW w:w="2551" w:type="dxa"/>
          </w:tcPr>
          <w:p w:rsidR="00352C09" w:rsidRDefault="00352C09"/>
        </w:tc>
        <w:tc>
          <w:tcPr>
            <w:tcW w:w="2835" w:type="dxa"/>
          </w:tcPr>
          <w:p w:rsidR="00352C09" w:rsidRDefault="00352C09"/>
        </w:tc>
        <w:tc>
          <w:tcPr>
            <w:tcW w:w="3119" w:type="dxa"/>
          </w:tcPr>
          <w:p w:rsidR="00352C09" w:rsidRDefault="00352C09"/>
        </w:tc>
      </w:tr>
      <w:tr w:rsidR="00DA2327" w:rsidTr="00584C8B">
        <w:trPr>
          <w:trHeight w:val="444"/>
        </w:trPr>
        <w:tc>
          <w:tcPr>
            <w:tcW w:w="932" w:type="dxa"/>
            <w:vMerge w:val="restart"/>
          </w:tcPr>
          <w:p w:rsidR="00DA2327" w:rsidRPr="00352C09" w:rsidRDefault="00DA2327" w:rsidP="00352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FORMA, ESPACIO Y MEDIDA</w:t>
            </w:r>
          </w:p>
        </w:tc>
        <w:tc>
          <w:tcPr>
            <w:tcW w:w="1373" w:type="dxa"/>
          </w:tcPr>
          <w:p w:rsidR="00DA2327" w:rsidRPr="00352C09" w:rsidRDefault="00DA2327" w:rsidP="00352C09">
            <w:pPr>
              <w:jc w:val="center"/>
              <w:rPr>
                <w:b/>
                <w:bCs/>
                <w:sz w:val="18"/>
                <w:szCs w:val="18"/>
              </w:rPr>
            </w:pPr>
            <w:r w:rsidRPr="00352C09">
              <w:rPr>
                <w:b/>
                <w:bCs/>
                <w:sz w:val="18"/>
                <w:szCs w:val="18"/>
              </w:rPr>
              <w:t>UBICACIÓN ESPACIAL</w:t>
            </w:r>
          </w:p>
        </w:tc>
        <w:tc>
          <w:tcPr>
            <w:tcW w:w="3224" w:type="dxa"/>
            <w:gridSpan w:val="3"/>
          </w:tcPr>
          <w:p w:rsidR="00DA2327" w:rsidRPr="004C5B0E" w:rsidRDefault="00DA2327" w:rsidP="004C5B0E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4C5B0E">
              <w:rPr>
                <w:sz w:val="20"/>
                <w:szCs w:val="20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551" w:type="dxa"/>
          </w:tcPr>
          <w:p w:rsidR="00DA2327" w:rsidRPr="00584C8B" w:rsidRDefault="00584C8B">
            <w:pPr>
              <w:rPr>
                <w:sz w:val="20"/>
                <w:szCs w:val="20"/>
              </w:rPr>
            </w:pPr>
            <w:r w:rsidRPr="00584C8B">
              <w:rPr>
                <w:sz w:val="20"/>
                <w:szCs w:val="20"/>
              </w:rPr>
              <w:t xml:space="preserve">Alto. </w:t>
            </w:r>
          </w:p>
          <w:p w:rsidR="00584C8B" w:rsidRPr="00584C8B" w:rsidRDefault="00584C8B">
            <w:pPr>
              <w:rPr>
                <w:sz w:val="20"/>
                <w:szCs w:val="20"/>
              </w:rPr>
            </w:pPr>
            <w:r w:rsidRPr="00584C8B">
              <w:rPr>
                <w:sz w:val="20"/>
                <w:szCs w:val="20"/>
              </w:rPr>
              <w:t xml:space="preserve">Se espera </w:t>
            </w:r>
            <w:r w:rsidRPr="00584C8B">
              <w:rPr>
                <w:sz w:val="20"/>
                <w:szCs w:val="20"/>
              </w:rPr>
              <w:t>que los niños construyan sistemas de referencia respecto a la ubicación espacial (interioridad, proximidad, orientación y direccionalidad) que les permitan</w:t>
            </w:r>
            <w:r>
              <w:rPr>
                <w:sz w:val="20"/>
                <w:szCs w:val="20"/>
              </w:rPr>
              <w:t xml:space="preserve"> </w:t>
            </w:r>
            <w:r w:rsidRPr="00584C8B">
              <w:rPr>
                <w:sz w:val="20"/>
                <w:szCs w:val="20"/>
              </w:rPr>
              <w:t>comprender que el espacio puede describirse por medio de ciertas relaciones que se establecen entre objetos (puntos de referencia).</w:t>
            </w:r>
            <w:r>
              <w:rPr>
                <w:sz w:val="20"/>
                <w:szCs w:val="20"/>
              </w:rPr>
              <w:t xml:space="preserve"> Este aprendizaje es importante porque le permitirá al niño describir y ubicarse dentro de su entorno correctamente. </w:t>
            </w:r>
          </w:p>
        </w:tc>
        <w:tc>
          <w:tcPr>
            <w:tcW w:w="2835" w:type="dxa"/>
          </w:tcPr>
          <w:p w:rsidR="00DA2327" w:rsidRPr="004C5B0E" w:rsidRDefault="00876496" w:rsidP="004C5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D1FDA">
              <w:rPr>
                <w:sz w:val="20"/>
                <w:szCs w:val="20"/>
              </w:rPr>
              <w:t xml:space="preserve">Conocer el significado que conceptos básicos relacionados con el tema: dimensión, dirección, ubicación, profundidad, longitud, etcétera. </w:t>
            </w:r>
          </w:p>
          <w:p w:rsidR="00DA2327" w:rsidRDefault="00DA2327"/>
        </w:tc>
        <w:tc>
          <w:tcPr>
            <w:tcW w:w="3119" w:type="dxa"/>
          </w:tcPr>
          <w:p w:rsidR="00DA2327" w:rsidRPr="004C5B0E" w:rsidRDefault="00DA2327" w:rsidP="004C5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5B0E">
              <w:rPr>
                <w:sz w:val="20"/>
                <w:szCs w:val="20"/>
              </w:rPr>
              <w:t>Comunicar en forma oral la posición de un objeto usando puntos de referencia y relaciones espaciales para que otros lo encuentren.</w:t>
            </w:r>
          </w:p>
          <w:p w:rsidR="00DA2327" w:rsidRDefault="00DA2327" w:rsidP="004C5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5B0E">
              <w:rPr>
                <w:sz w:val="20"/>
                <w:szCs w:val="20"/>
              </w:rPr>
              <w:t>Representar gráficamente desplazamientos y trayectorias.</w:t>
            </w:r>
          </w:p>
          <w:p w:rsidR="00DA2327" w:rsidRPr="004C5B0E" w:rsidRDefault="00DA2327" w:rsidP="004C5B0E">
            <w:pPr>
              <w:rPr>
                <w:sz w:val="20"/>
                <w:szCs w:val="20"/>
              </w:rPr>
            </w:pPr>
            <w:r w:rsidRPr="004C5B0E">
              <w:rPr>
                <w:sz w:val="20"/>
                <w:szCs w:val="20"/>
              </w:rPr>
              <w:t>-Ejecutar desplazamientos para llegar a un lugar, siguiendo instrucciones que implican el uso de puntos de referencia y relaciones espaciales.</w:t>
            </w:r>
          </w:p>
          <w:p w:rsidR="00134220" w:rsidRDefault="00134220" w:rsidP="0013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-Establecer relaciones de orientación, interioridad o proximidad entre objetos. </w:t>
            </w:r>
          </w:p>
          <w:p w:rsidR="00DA2327" w:rsidRDefault="00134220" w:rsidP="00134220">
            <w:r>
              <w:rPr>
                <w:sz w:val="20"/>
                <w:szCs w:val="20"/>
              </w:rPr>
              <w:t>-Utilizar la direccionalidad y orientación (derecha e izquierda)</w:t>
            </w:r>
          </w:p>
        </w:tc>
      </w:tr>
      <w:tr w:rsidR="00DA2327" w:rsidTr="00584C8B">
        <w:trPr>
          <w:trHeight w:val="442"/>
        </w:trPr>
        <w:tc>
          <w:tcPr>
            <w:tcW w:w="932" w:type="dxa"/>
            <w:vMerge/>
          </w:tcPr>
          <w:p w:rsidR="00DA2327" w:rsidRDefault="00DA2327" w:rsidP="00352C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:rsidR="00DA2327" w:rsidRPr="00352C09" w:rsidRDefault="00DA2327" w:rsidP="00352C09">
            <w:pPr>
              <w:jc w:val="center"/>
              <w:rPr>
                <w:b/>
                <w:bCs/>
                <w:sz w:val="18"/>
                <w:szCs w:val="18"/>
              </w:rPr>
            </w:pPr>
            <w:r w:rsidRPr="00352C09">
              <w:rPr>
                <w:b/>
                <w:bCs/>
                <w:sz w:val="18"/>
                <w:szCs w:val="18"/>
              </w:rPr>
              <w:t>FIGURAS Y CUERPOS GEOMETRICOS</w:t>
            </w:r>
          </w:p>
        </w:tc>
        <w:tc>
          <w:tcPr>
            <w:tcW w:w="3224" w:type="dxa"/>
            <w:gridSpan w:val="3"/>
          </w:tcPr>
          <w:p w:rsidR="00DA2327" w:rsidRPr="004C5B0E" w:rsidRDefault="00DA2327" w:rsidP="004C5B0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C5B0E">
              <w:rPr>
                <w:sz w:val="20"/>
                <w:szCs w:val="20"/>
              </w:rPr>
              <w:t>Reproduce modelos con formas, figuras y cuerpos geométricos.</w:t>
            </w:r>
          </w:p>
          <w:p w:rsidR="00DA2327" w:rsidRPr="004C5B0E" w:rsidRDefault="00DA2327" w:rsidP="00352C09">
            <w:pPr>
              <w:rPr>
                <w:sz w:val="20"/>
                <w:szCs w:val="20"/>
              </w:rPr>
            </w:pPr>
          </w:p>
          <w:p w:rsidR="00DA2327" w:rsidRPr="004C5B0E" w:rsidRDefault="00DA2327" w:rsidP="004C5B0E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4C5B0E">
              <w:rPr>
                <w:sz w:val="20"/>
                <w:szCs w:val="20"/>
              </w:rPr>
              <w:t>Construye configuraciones con formas, figuras y cuerpos geométricos.</w:t>
            </w:r>
          </w:p>
        </w:tc>
        <w:tc>
          <w:tcPr>
            <w:tcW w:w="2551" w:type="dxa"/>
          </w:tcPr>
          <w:p w:rsidR="00DA2327" w:rsidRPr="00584C8B" w:rsidRDefault="00584C8B">
            <w:pPr>
              <w:rPr>
                <w:sz w:val="20"/>
                <w:szCs w:val="20"/>
              </w:rPr>
            </w:pPr>
            <w:r w:rsidRPr="00584C8B">
              <w:rPr>
                <w:sz w:val="20"/>
                <w:szCs w:val="20"/>
              </w:rPr>
              <w:t xml:space="preserve">Alto. </w:t>
            </w:r>
          </w:p>
          <w:p w:rsidR="00584C8B" w:rsidRPr="00584C8B" w:rsidRDefault="00584C8B">
            <w:pPr>
              <w:rPr>
                <w:sz w:val="20"/>
                <w:szCs w:val="20"/>
              </w:rPr>
            </w:pPr>
            <w:r w:rsidRPr="00584C8B">
              <w:rPr>
                <w:sz w:val="20"/>
                <w:szCs w:val="20"/>
              </w:rPr>
              <w:t>Se espera que el niño desarrolle su percepción geométrica al percibir en objetos cotidianos la configuración geométrica</w:t>
            </w:r>
            <w:r>
              <w:rPr>
                <w:sz w:val="20"/>
                <w:szCs w:val="20"/>
              </w:rPr>
              <w:t xml:space="preserve"> que los compone</w:t>
            </w:r>
            <w:r w:rsidRPr="00584C8B">
              <w:rPr>
                <w:sz w:val="20"/>
                <w:szCs w:val="20"/>
              </w:rPr>
              <w:t xml:space="preserve">, reconociendo algunas de sus características. Estos aprendizajes serán de utilidad al momento de construir o reproducir un modelo utilizando formas, figuras o cuerpos geométricos. </w:t>
            </w:r>
          </w:p>
        </w:tc>
        <w:tc>
          <w:tcPr>
            <w:tcW w:w="2835" w:type="dxa"/>
          </w:tcPr>
          <w:p w:rsidR="00DA2327" w:rsidRDefault="00DA2327" w:rsidP="00DA2327">
            <w:p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-</w:t>
            </w:r>
            <w:r w:rsidR="00BD1FDA">
              <w:rPr>
                <w:sz w:val="20"/>
                <w:szCs w:val="20"/>
              </w:rPr>
              <w:t xml:space="preserve">Dominar el nombre de distintas </w:t>
            </w:r>
            <w:r w:rsidRPr="00DA2327">
              <w:rPr>
                <w:sz w:val="20"/>
                <w:szCs w:val="20"/>
              </w:rPr>
              <w:t>figuras geométricas (cuadrado, rectángulo, rombo, romboide, triángulo, pentágono, hexágono</w:t>
            </w:r>
            <w:r w:rsidR="00134220">
              <w:rPr>
                <w:sz w:val="20"/>
                <w:szCs w:val="20"/>
              </w:rPr>
              <w:t>, etcétera</w:t>
            </w:r>
            <w:r w:rsidRPr="00DA2327">
              <w:rPr>
                <w:sz w:val="20"/>
                <w:szCs w:val="20"/>
              </w:rPr>
              <w:t xml:space="preserve">) </w:t>
            </w:r>
          </w:p>
          <w:p w:rsidR="00134220" w:rsidRDefault="00134220" w:rsidP="00DA2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-Conocer las características de una forma, figura y cuerpo geométrico.</w:t>
            </w:r>
          </w:p>
          <w:p w:rsidR="00134220" w:rsidRDefault="00134220" w:rsidP="00DA2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-Conocer la diferencia entre forma, figura y cuerpo geométrico. </w:t>
            </w:r>
          </w:p>
          <w:p w:rsidR="00DA2327" w:rsidRDefault="00DA2327" w:rsidP="00DA2327">
            <w:p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-</w:t>
            </w:r>
            <w:r w:rsidR="00BD1FDA">
              <w:rPr>
                <w:sz w:val="20"/>
                <w:szCs w:val="20"/>
              </w:rPr>
              <w:t xml:space="preserve">Conocer las características principales de cada figura y cuerpo </w:t>
            </w:r>
            <w:r w:rsidR="00134220">
              <w:rPr>
                <w:sz w:val="20"/>
                <w:szCs w:val="20"/>
              </w:rPr>
              <w:t>geométrico</w:t>
            </w:r>
            <w:r w:rsidR="00BD1FDA">
              <w:rPr>
                <w:sz w:val="20"/>
                <w:szCs w:val="20"/>
              </w:rPr>
              <w:t xml:space="preserve">. </w:t>
            </w:r>
          </w:p>
          <w:p w:rsidR="00BD1FDA" w:rsidRPr="00DA2327" w:rsidRDefault="00BD1FDA" w:rsidP="00DA2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-Conocer el significado de conceptos básicos relacionados con el tema: lado, </w:t>
            </w:r>
            <w:r w:rsidR="00134220">
              <w:rPr>
                <w:sz w:val="20"/>
                <w:szCs w:val="20"/>
              </w:rPr>
              <w:t xml:space="preserve">figura, forma, cuerpo, etcétera. </w:t>
            </w:r>
          </w:p>
          <w:p w:rsidR="00DA2327" w:rsidRPr="00DA2327" w:rsidRDefault="00DA2327" w:rsidP="00DA2327">
            <w:pPr>
              <w:rPr>
                <w:sz w:val="20"/>
                <w:szCs w:val="20"/>
              </w:rPr>
            </w:pPr>
          </w:p>
          <w:p w:rsidR="00DA2327" w:rsidRDefault="00DA2327"/>
        </w:tc>
        <w:tc>
          <w:tcPr>
            <w:tcW w:w="3119" w:type="dxa"/>
          </w:tcPr>
          <w:p w:rsidR="00DA2327" w:rsidRPr="00DA2327" w:rsidRDefault="00DA2327" w:rsidP="00DA2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DA2327">
              <w:rPr>
                <w:sz w:val="20"/>
                <w:szCs w:val="20"/>
              </w:rPr>
              <w:t>Reproducir y construir configuraciones a partir de un modelo utilizando diversas figuras geométricas (polígonos regulares, polígonos irregulares y no polígonos).</w:t>
            </w:r>
          </w:p>
          <w:p w:rsidR="00DA2327" w:rsidRDefault="00DA2327">
            <w:pPr>
              <w:rPr>
                <w:sz w:val="20"/>
                <w:szCs w:val="20"/>
              </w:rPr>
            </w:pPr>
            <w:r>
              <w:t>-</w:t>
            </w:r>
            <w:r w:rsidRPr="00DA2327">
              <w:rPr>
                <w:sz w:val="20"/>
                <w:szCs w:val="20"/>
              </w:rPr>
              <w:t>Resolver rompecabezas y trabajar libremente con el tangram y con cuadrados bicolores a partir de un modelo.</w:t>
            </w:r>
          </w:p>
          <w:p w:rsidR="00BD1FDA" w:rsidRDefault="00BD1FDA">
            <w:pPr>
              <w:rPr>
                <w:sz w:val="20"/>
                <w:szCs w:val="20"/>
              </w:rPr>
            </w:pPr>
            <w:r>
              <w:t>-</w:t>
            </w:r>
            <w:r w:rsidRPr="00DA2327">
              <w:rPr>
                <w:sz w:val="20"/>
                <w:szCs w:val="20"/>
              </w:rPr>
              <w:t xml:space="preserve"> </w:t>
            </w:r>
            <w:r w:rsidRPr="00DA2327">
              <w:rPr>
                <w:sz w:val="20"/>
                <w:szCs w:val="20"/>
              </w:rPr>
              <w:t xml:space="preserve">Identificar características y propiedades de figuras geométricas, y establecer semejanzas y diferencias entre </w:t>
            </w:r>
            <w:r w:rsidRPr="00DA2327">
              <w:rPr>
                <w:sz w:val="20"/>
                <w:szCs w:val="20"/>
              </w:rPr>
              <w:lastRenderedPageBreak/>
              <w:t>figuras y cuerpos geométricos al trabajar con ellos.</w:t>
            </w:r>
          </w:p>
          <w:p w:rsidR="00134220" w:rsidRDefault="00134220"/>
        </w:tc>
      </w:tr>
      <w:tr w:rsidR="00DA2327" w:rsidTr="00584C8B">
        <w:trPr>
          <w:trHeight w:val="442"/>
        </w:trPr>
        <w:tc>
          <w:tcPr>
            <w:tcW w:w="932" w:type="dxa"/>
            <w:vMerge/>
          </w:tcPr>
          <w:p w:rsidR="00DA2327" w:rsidRDefault="00DA2327" w:rsidP="00352C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:rsidR="00DA2327" w:rsidRDefault="00DA2327" w:rsidP="00352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MAGNITUDES Y MEDIDAS </w:t>
            </w:r>
          </w:p>
        </w:tc>
        <w:tc>
          <w:tcPr>
            <w:tcW w:w="3224" w:type="dxa"/>
            <w:gridSpan w:val="3"/>
          </w:tcPr>
          <w:p w:rsidR="00DA2327" w:rsidRPr="00DA2327" w:rsidRDefault="00DA2327" w:rsidP="00DA2327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Identifica la longitud de varios objetos a través de la comparación directa o mediante el uso de un intermediario.</w:t>
            </w:r>
          </w:p>
          <w:p w:rsidR="00DA2327" w:rsidRPr="00DA2327" w:rsidRDefault="00DA2327" w:rsidP="00DA2327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Compara distancias mediante el uso de un intermediario.</w:t>
            </w:r>
          </w:p>
          <w:p w:rsidR="00DA2327" w:rsidRPr="00DA2327" w:rsidRDefault="00DA2327" w:rsidP="00DA2327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Mide objetos o distancias mediante el uso de unidades no convencionales.</w:t>
            </w:r>
          </w:p>
          <w:p w:rsidR="00DA2327" w:rsidRPr="00DA2327" w:rsidRDefault="00DA2327" w:rsidP="00DA2327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Usa unidades no convencionales para medir la capacidad con distintos propósitos.</w:t>
            </w:r>
          </w:p>
          <w:p w:rsidR="00DA2327" w:rsidRPr="00DA2327" w:rsidRDefault="00DA2327" w:rsidP="00DA2327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Identifica varios eventos de su vida cotidiana y dice el orden en que ocurren.</w:t>
            </w:r>
          </w:p>
          <w:p w:rsidR="00DA2327" w:rsidRPr="00DA2327" w:rsidRDefault="00DA2327" w:rsidP="00DA2327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Usa expresiones temporales y Representaciones gráficas para explicar la sucesión de eventos.</w:t>
            </w:r>
          </w:p>
        </w:tc>
        <w:tc>
          <w:tcPr>
            <w:tcW w:w="2551" w:type="dxa"/>
          </w:tcPr>
          <w:p w:rsidR="00584C8B" w:rsidRPr="00A116F7" w:rsidRDefault="00584C8B">
            <w:pPr>
              <w:rPr>
                <w:sz w:val="20"/>
                <w:szCs w:val="20"/>
              </w:rPr>
            </w:pPr>
            <w:r w:rsidRPr="00A116F7">
              <w:rPr>
                <w:sz w:val="20"/>
                <w:szCs w:val="20"/>
              </w:rPr>
              <w:t xml:space="preserve">Alto. </w:t>
            </w:r>
          </w:p>
          <w:p w:rsidR="00584C8B" w:rsidRPr="00A116F7" w:rsidRDefault="00584C8B">
            <w:pPr>
              <w:rPr>
                <w:sz w:val="20"/>
                <w:szCs w:val="20"/>
              </w:rPr>
            </w:pPr>
            <w:r w:rsidRPr="00A116F7">
              <w:rPr>
                <w:sz w:val="20"/>
                <w:szCs w:val="20"/>
              </w:rPr>
              <w:t>La obtención de estos aprendizajes le permitirá al niño resolver problemas de medición</w:t>
            </w:r>
            <w:r w:rsidR="00A116F7" w:rsidRPr="00A116F7">
              <w:rPr>
                <w:sz w:val="20"/>
                <w:szCs w:val="20"/>
              </w:rPr>
              <w:t xml:space="preserve"> y </w:t>
            </w:r>
            <w:r w:rsidRPr="00A116F7">
              <w:rPr>
                <w:sz w:val="20"/>
                <w:szCs w:val="20"/>
              </w:rPr>
              <w:t>comparación</w:t>
            </w:r>
            <w:r w:rsidR="00A116F7" w:rsidRPr="00A116F7">
              <w:rPr>
                <w:sz w:val="20"/>
                <w:szCs w:val="20"/>
              </w:rPr>
              <w:t xml:space="preserve">. Será capaz de establecer la distancia entre su cuerpo y algún otro objeto o entre dos objetos. Además, serán de suma importancia al permitirle al niño establecer una cronología en sus actividades diarias, lo que le permitirá </w:t>
            </w:r>
            <w:r w:rsidR="00A116F7">
              <w:rPr>
                <w:sz w:val="20"/>
                <w:szCs w:val="20"/>
              </w:rPr>
              <w:t>dar</w:t>
            </w:r>
            <w:r w:rsidR="00A116F7" w:rsidRPr="00A116F7">
              <w:rPr>
                <w:sz w:val="20"/>
                <w:szCs w:val="20"/>
              </w:rPr>
              <w:t xml:space="preserve"> orden y organización </w:t>
            </w:r>
            <w:r w:rsidR="00A116F7">
              <w:rPr>
                <w:sz w:val="20"/>
                <w:szCs w:val="20"/>
              </w:rPr>
              <w:t>a</w:t>
            </w:r>
            <w:r w:rsidR="00A116F7" w:rsidRPr="00A116F7">
              <w:rPr>
                <w:sz w:val="20"/>
                <w:szCs w:val="20"/>
              </w:rPr>
              <w:t xml:space="preserve"> sus rutinas. </w:t>
            </w:r>
          </w:p>
          <w:p w:rsidR="00584C8B" w:rsidRPr="00A116F7" w:rsidRDefault="00584C8B">
            <w:pPr>
              <w:rPr>
                <w:sz w:val="20"/>
                <w:szCs w:val="20"/>
              </w:rPr>
            </w:pPr>
            <w:r w:rsidRPr="00A11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876496" w:rsidRDefault="00134220" w:rsidP="0013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-Conocer el significado de conceptos básicos relacionados con el tema: </w:t>
            </w:r>
            <w:r w:rsidR="00146C6F">
              <w:rPr>
                <w:sz w:val="20"/>
                <w:szCs w:val="20"/>
              </w:rPr>
              <w:t xml:space="preserve">medida, longitud, comparación, magnitud, distancia, medición, unidad, etcétera. </w:t>
            </w:r>
          </w:p>
          <w:p w:rsidR="00A116F7" w:rsidRDefault="00A116F7" w:rsidP="0013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-Conocer distintas formas y herramientas de medición, tanto convencionales como no convencionales. </w:t>
            </w:r>
          </w:p>
          <w:p w:rsidR="00A116F7" w:rsidRPr="00DA2327" w:rsidRDefault="00A116F7" w:rsidP="0013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-Conocer la forma correcta de obtener una medida. </w:t>
            </w:r>
            <w:bookmarkStart w:id="0" w:name="_GoBack"/>
            <w:bookmarkEnd w:id="0"/>
          </w:p>
        </w:tc>
        <w:tc>
          <w:tcPr>
            <w:tcW w:w="3119" w:type="dxa"/>
          </w:tcPr>
          <w:p w:rsidR="00134220" w:rsidRDefault="00134220" w:rsidP="0013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-Comprender y expresar puntos de referencia. </w:t>
            </w:r>
          </w:p>
          <w:p w:rsidR="00DA2327" w:rsidRDefault="00876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-Establecer comparaciones entre longitudes y capacidades. </w:t>
            </w:r>
          </w:p>
          <w:p w:rsidR="00876496" w:rsidRDefault="00876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-Utilizar unidades de medida </w:t>
            </w:r>
            <w:r w:rsidR="00134220">
              <w:rPr>
                <w:sz w:val="20"/>
                <w:szCs w:val="20"/>
              </w:rPr>
              <w:t xml:space="preserve">convencionales y </w:t>
            </w:r>
            <w:r>
              <w:rPr>
                <w:sz w:val="20"/>
                <w:szCs w:val="20"/>
              </w:rPr>
              <w:t xml:space="preserve">no convencionales. </w:t>
            </w:r>
          </w:p>
          <w:p w:rsidR="00876496" w:rsidRDefault="00876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-Anticipar y verificar longitudes y capacidades utilizando unidades de medida no convencionales.</w:t>
            </w:r>
          </w:p>
          <w:p w:rsidR="00584C8B" w:rsidRDefault="00584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-Medir y comparar la distancia entre dos lugares. </w:t>
            </w:r>
          </w:p>
          <w:p w:rsidR="00876496" w:rsidRPr="00876496" w:rsidRDefault="00876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D32345" w:rsidRDefault="00D32345"/>
    <w:sectPr w:rsidR="00D32345" w:rsidSect="00DA232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48E1"/>
    <w:multiLevelType w:val="hybridMultilevel"/>
    <w:tmpl w:val="184A5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3E10"/>
    <w:multiLevelType w:val="hybridMultilevel"/>
    <w:tmpl w:val="5B146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D4008"/>
    <w:multiLevelType w:val="hybridMultilevel"/>
    <w:tmpl w:val="8BDE2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09"/>
    <w:rsid w:val="00134220"/>
    <w:rsid w:val="00146C6F"/>
    <w:rsid w:val="001B6076"/>
    <w:rsid w:val="00224EF1"/>
    <w:rsid w:val="00352C09"/>
    <w:rsid w:val="004C5B0E"/>
    <w:rsid w:val="00584C8B"/>
    <w:rsid w:val="00876496"/>
    <w:rsid w:val="009A4772"/>
    <w:rsid w:val="00A116F7"/>
    <w:rsid w:val="00BD1FDA"/>
    <w:rsid w:val="00D32345"/>
    <w:rsid w:val="00D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2D02"/>
  <w15:chartTrackingRefBased/>
  <w15:docId w15:val="{AB2E4E63-FC8A-4BC2-9162-1A29B589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2021-03-11T22:59:00Z</dcterms:created>
  <dcterms:modified xsi:type="dcterms:W3CDTF">2021-03-19T00:18:00Z</dcterms:modified>
</cp:coreProperties>
</file>