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CFC5" w14:textId="77777777" w:rsidR="002229C5" w:rsidRPr="00C84212" w:rsidRDefault="002229C5" w:rsidP="002229C5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5B3FA7D5" w14:textId="77777777" w:rsidR="002229C5" w:rsidRPr="00C84212" w:rsidRDefault="002229C5" w:rsidP="002229C5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02784BB2" wp14:editId="5BFC9061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34168C8B" w14:textId="77777777" w:rsidR="002229C5" w:rsidRPr="00C84212" w:rsidRDefault="002229C5" w:rsidP="002229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1A7521" w14:textId="77777777" w:rsidR="002229C5" w:rsidRPr="00C84212" w:rsidRDefault="002229C5" w:rsidP="002229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720C5B83" w14:textId="4A9838DD" w:rsidR="002229C5" w:rsidRPr="00C84212" w:rsidRDefault="002229C5" w:rsidP="002229C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Cuestionario </w:t>
      </w:r>
    </w:p>
    <w:p w14:paraId="5F1F9957" w14:textId="77777777" w:rsidR="002229C5" w:rsidRPr="00C84212" w:rsidRDefault="002229C5" w:rsidP="002229C5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Prácticas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para la exploración del mundo natural </w:t>
      </w:r>
    </w:p>
    <w:p w14:paraId="5A4A760C" w14:textId="77777777" w:rsidR="002229C5" w:rsidRPr="00C84212" w:rsidRDefault="002229C5" w:rsidP="002229C5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C84212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6" w:history="1">
        <w:r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Rosa</w:t>
        </w:r>
      </w:hyperlink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>Velia</w:t>
      </w:r>
      <w:proofErr w:type="spellEnd"/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del Rio Tijerina </w:t>
      </w:r>
    </w:p>
    <w:p w14:paraId="759F8339" w14:textId="77777777" w:rsidR="002229C5" w:rsidRPr="00C84212" w:rsidRDefault="002229C5" w:rsidP="002229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037A0BE2" w14:textId="77777777" w:rsidR="002229C5" w:rsidRPr="00C84212" w:rsidRDefault="002229C5" w:rsidP="002229C5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7C269F69" w14:textId="77777777" w:rsidR="002229C5" w:rsidRPr="00C84212" w:rsidRDefault="002229C5" w:rsidP="002229C5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70BE75D4" w14:textId="77777777" w:rsidR="002229C5" w:rsidRPr="00C84212" w:rsidRDefault="002229C5" w:rsidP="002229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55BB3B6D" w14:textId="77777777" w:rsidR="002229C5" w:rsidRPr="00C84212" w:rsidRDefault="002229C5" w:rsidP="002229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0AE3B6B8" w14:textId="77777777" w:rsidR="002229C5" w:rsidRPr="00C84212" w:rsidRDefault="002229C5" w:rsidP="002229C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5CE55675" w14:textId="77777777" w:rsidR="002229C5" w:rsidRDefault="002229C5" w:rsidP="002229C5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Marzo del 2021</w:t>
      </w:r>
    </w:p>
    <w:p w14:paraId="6532A762" w14:textId="77777777" w:rsidR="002229C5" w:rsidRDefault="002229C5" w:rsidP="002229C5"/>
    <w:p w14:paraId="634C557B" w14:textId="77777777" w:rsidR="002229C5" w:rsidRDefault="002229C5" w:rsidP="002229C5"/>
    <w:p w14:paraId="7A9884B1" w14:textId="6BCF12AC" w:rsidR="002229C5" w:rsidRDefault="002229C5"/>
    <w:p w14:paraId="020C3830" w14:textId="29D44BE7" w:rsidR="00E26D0D" w:rsidRDefault="00E26D0D"/>
    <w:p w14:paraId="507094D1" w14:textId="0A09F3BD" w:rsidR="00E26D0D" w:rsidRDefault="00E26D0D"/>
    <w:p w14:paraId="3AD85D05" w14:textId="19756DF9" w:rsidR="00E26D0D" w:rsidRDefault="00E26D0D"/>
    <w:p w14:paraId="4908A52D" w14:textId="6BB58045" w:rsidR="00E26D0D" w:rsidRDefault="00E26D0D"/>
    <w:p w14:paraId="2D06B780" w14:textId="75BA7AA5" w:rsidR="00E26D0D" w:rsidRDefault="00E26D0D"/>
    <w:p w14:paraId="0E000148" w14:textId="77777777" w:rsidR="00E26D0D" w:rsidRDefault="00E26D0D"/>
    <w:p w14:paraId="2B3D9383" w14:textId="77777777" w:rsidR="002229C5" w:rsidRDefault="002229C5"/>
    <w:p w14:paraId="2C9A46E4" w14:textId="48276AEB" w:rsidR="00D700D5" w:rsidRDefault="00D700D5">
      <w:r>
        <w:lastRenderedPageBreak/>
        <w:t xml:space="preserve">SEGUNDA ACTIVIDAD: RESPUESTA A PREGUNTAS DE ACUERDO A LAS LECTURAS REALIZADAS ANTERIORMENTE </w:t>
      </w:r>
    </w:p>
    <w:p w14:paraId="091E5E02" w14:textId="4405FC59" w:rsidR="00D700D5" w:rsidRPr="00E26D0D" w:rsidRDefault="00D700D5" w:rsidP="00E26D0D">
      <w:pPr>
        <w:pStyle w:val="Prrafodelista"/>
        <w:numPr>
          <w:ilvl w:val="0"/>
          <w:numId w:val="4"/>
        </w:numPr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6D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¿En qué consiste el conocimiento didáctico del contenido (CDC)? </w:t>
      </w:r>
    </w:p>
    <w:p w14:paraId="34AEC5EA" w14:textId="7E419AC1" w:rsidR="00E26D0D" w:rsidRDefault="00E26D0D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5DAE79C" w14:textId="5A7A92C8" w:rsidR="00E26D0D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Pr="00F57DB6">
        <w:rPr>
          <w:rFonts w:ascii="Arial" w:hAnsi="Arial" w:cs="Arial"/>
          <w:color w:val="000000" w:themeColor="text1"/>
          <w:sz w:val="24"/>
          <w:szCs w:val="24"/>
        </w:rPr>
        <w:t> CDC</w:t>
      </w:r>
      <w:r w:rsidRPr="00F57DB6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propone </w:t>
      </w:r>
      <w:r w:rsidRPr="00F57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7DB6">
        <w:rPr>
          <w:rFonts w:ascii="Arial" w:hAnsi="Arial" w:cs="Arial"/>
          <w:color w:val="000000" w:themeColor="text1"/>
          <w:sz w:val="24"/>
          <w:szCs w:val="24"/>
        </w:rPr>
        <w:t>cómo ayudar a los estudiantes a entender cuestiones específicas de la materia usando múltiples estrategias instruccionales, representaciones y evaluaciones, mientras se trabaja en un entorno de aprendizaje caracterizado por un determinado contexto social y cultural.</w:t>
      </w:r>
    </w:p>
    <w:p w14:paraId="2B5DDA66" w14:textId="77777777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092201" w14:textId="2FEB64D8" w:rsidR="00D700D5" w:rsidRPr="00E26D0D" w:rsidRDefault="00D700D5" w:rsidP="00E26D0D">
      <w:pPr>
        <w:pStyle w:val="Prrafodelista"/>
        <w:numPr>
          <w:ilvl w:val="0"/>
          <w:numId w:val="4"/>
        </w:numPr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6D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¿Cuáles son sus componentes? </w:t>
      </w:r>
    </w:p>
    <w:p w14:paraId="359E02D2" w14:textId="77777777" w:rsidR="00E26D0D" w:rsidRPr="00F57DB6" w:rsidRDefault="00E26D0D" w:rsidP="00E26D0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496AB758" w14:textId="467DEFC0" w:rsid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>El conjunto de componentes del CDC lo constituye los conocimientos sobre:</w:t>
      </w:r>
    </w:p>
    <w:p w14:paraId="6863834C" w14:textId="77777777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C474E3" w14:textId="77934DC3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 xml:space="preserve"> • El propósito de enseñar un determinado tema o cuestión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63CE1C" w14:textId="544A3715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>• Dificultades que tendrán los estudiantes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615ACF" w14:textId="5C490AB6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 xml:space="preserve"> • Currículum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CE3234" w14:textId="4461ADF4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>• Estrategias instruccionales y representaciones de los contenidos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DDB5F1" w14:textId="755F3708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 xml:space="preserve"> • Recursos instruccionales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6C923A" w14:textId="25765C63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>• Evaluación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B4D035" w14:textId="7CFAE2F1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>• La materia a enseñar (contenidos)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6FB795" w14:textId="206A40A5" w:rsidR="00F57DB6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 xml:space="preserve"> • El contexto de enseñanza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888D34" w14:textId="2E94C53F" w:rsidR="00E26D0D" w:rsidRPr="00F57DB6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DB6">
        <w:rPr>
          <w:rFonts w:ascii="Arial" w:hAnsi="Arial" w:cs="Arial"/>
          <w:color w:val="000000" w:themeColor="text1"/>
          <w:sz w:val="24"/>
          <w:szCs w:val="24"/>
        </w:rPr>
        <w:t>• Didáctica de la disciplina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5192EB" w14:textId="77777777" w:rsidR="00F57DB6" w:rsidRPr="00E26D0D" w:rsidRDefault="00F57DB6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26A71CF" w14:textId="7078B1C6" w:rsidR="00D700D5" w:rsidRPr="00E26D0D" w:rsidRDefault="00D700D5" w:rsidP="00E26D0D">
      <w:pPr>
        <w:pStyle w:val="Prrafodelista"/>
        <w:numPr>
          <w:ilvl w:val="0"/>
          <w:numId w:val="4"/>
        </w:numPr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6D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¿Cómo interactúan los componentes y cómo esta interacción influye en la enseñanza? </w:t>
      </w:r>
    </w:p>
    <w:p w14:paraId="6148EFFD" w14:textId="3A043EA8" w:rsidR="00E26D0D" w:rsidRDefault="00E26D0D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E48F58" w14:textId="2BB1215E" w:rsidR="00786973" w:rsidRDefault="00786973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786973">
        <w:rPr>
          <w:rFonts w:ascii="Arial" w:hAnsi="Arial" w:cs="Arial"/>
          <w:color w:val="000000" w:themeColor="text1"/>
          <w:sz w:val="24"/>
          <w:szCs w:val="24"/>
        </w:rPr>
        <w:t>n un estudio de carácter cuantitativo llevado a cabo con profesores de ciencias de primaria, constataron que el CDC de los profesores estaba significativamente relacionado con el rendimiento que los estudiantes alcanzaban en la asignatura de ciencias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786973">
        <w:rPr>
          <w:rFonts w:ascii="Arial" w:hAnsi="Arial" w:cs="Arial"/>
          <w:color w:val="000000" w:themeColor="text1"/>
          <w:sz w:val="24"/>
          <w:szCs w:val="24"/>
        </w:rPr>
        <w:t xml:space="preserve"> concluyeron que el conocimiento académico de los profesores explicaba una parte sustancial del logro de los estudiantes.</w:t>
      </w:r>
    </w:p>
    <w:p w14:paraId="719A3B90" w14:textId="77777777" w:rsidR="00786973" w:rsidRPr="00786973" w:rsidRDefault="00786973" w:rsidP="00E26D0D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9CC5FA" w14:textId="462BAEE0" w:rsidR="00D700D5" w:rsidRPr="00E26D0D" w:rsidRDefault="00D700D5" w:rsidP="00E26D0D">
      <w:pPr>
        <w:pStyle w:val="Prrafodelista"/>
        <w:numPr>
          <w:ilvl w:val="0"/>
          <w:numId w:val="4"/>
        </w:numPr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6D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¿Cuáles son las herramientas que se utilizan para recopilar el CDC? </w:t>
      </w:r>
    </w:p>
    <w:p w14:paraId="0A2ADA6C" w14:textId="77777777" w:rsidR="00E26D0D" w:rsidRPr="00E26D0D" w:rsidRDefault="00E26D0D" w:rsidP="00E26D0D">
      <w:pPr>
        <w:pStyle w:val="Prrafodelist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1BEBE1" w14:textId="203B018B" w:rsidR="00F757D8" w:rsidRDefault="00F757D8" w:rsidP="00F757D8">
      <w:pPr>
        <w:pStyle w:val="Prrafodelista"/>
        <w:numPr>
          <w:ilvl w:val="0"/>
          <w:numId w:val="5"/>
        </w:numPr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57D8">
        <w:rPr>
          <w:rFonts w:ascii="Arial" w:hAnsi="Arial" w:cs="Arial"/>
          <w:color w:val="000000" w:themeColor="text1"/>
          <w:sz w:val="24"/>
          <w:szCs w:val="24"/>
        </w:rPr>
        <w:t>Cuestionarios de lápiz y papel (con preguntas abiertas, cerradas o ambas)</w:t>
      </w:r>
      <w:r w:rsidR="008869D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12A4868" w14:textId="15E22891" w:rsidR="00F757D8" w:rsidRDefault="00F757D8" w:rsidP="00F757D8">
      <w:pPr>
        <w:pStyle w:val="Prrafodelista"/>
        <w:numPr>
          <w:ilvl w:val="0"/>
          <w:numId w:val="5"/>
        </w:numPr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57D8">
        <w:rPr>
          <w:rFonts w:ascii="Arial" w:hAnsi="Arial" w:cs="Arial"/>
          <w:color w:val="000000" w:themeColor="text1"/>
          <w:sz w:val="24"/>
          <w:szCs w:val="24"/>
        </w:rPr>
        <w:t xml:space="preserve"> Entrevistas y/o técnicas de observación</w:t>
      </w:r>
      <w:r w:rsidR="008869D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E0ABC8" w14:textId="31377AFB" w:rsidR="00E26D0D" w:rsidRDefault="00F757D8" w:rsidP="00F757D8">
      <w:pPr>
        <w:pStyle w:val="Prrafodelista"/>
        <w:numPr>
          <w:ilvl w:val="0"/>
          <w:numId w:val="5"/>
        </w:numPr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57D8">
        <w:rPr>
          <w:rFonts w:ascii="Arial" w:hAnsi="Arial" w:cs="Arial"/>
          <w:color w:val="000000" w:themeColor="text1"/>
          <w:sz w:val="24"/>
          <w:szCs w:val="24"/>
        </w:rPr>
        <w:t xml:space="preserve"> La conjunción de los dos anteriores</w:t>
      </w:r>
      <w:r w:rsidR="008869D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75AFB3" w14:textId="77777777" w:rsidR="008869D3" w:rsidRPr="00F757D8" w:rsidRDefault="008869D3" w:rsidP="00161960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63CF00" w14:textId="177E15FC" w:rsidR="00D700D5" w:rsidRDefault="00D700D5" w:rsidP="00E26D0D">
      <w:pPr>
        <w:pStyle w:val="Prrafodelista"/>
        <w:numPr>
          <w:ilvl w:val="0"/>
          <w:numId w:val="4"/>
        </w:numPr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6D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¿En qué consiste la representación del contenido </w:t>
      </w:r>
      <w:proofErr w:type="spellStart"/>
      <w:r w:rsidRPr="00E26D0D">
        <w:rPr>
          <w:rFonts w:ascii="Arial" w:hAnsi="Arial" w:cs="Arial"/>
          <w:b/>
          <w:bCs/>
          <w:color w:val="000000" w:themeColor="text1"/>
          <w:sz w:val="24"/>
          <w:szCs w:val="24"/>
        </w:rPr>
        <w:t>ReCo</w:t>
      </w:r>
      <w:proofErr w:type="spellEnd"/>
      <w:r w:rsidRPr="00E26D0D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14:paraId="5B1E1EC4" w14:textId="2D8F2437" w:rsidR="008A3687" w:rsidRDefault="008A3687" w:rsidP="008A3687">
      <w:pPr>
        <w:pStyle w:val="Prrafodelista"/>
        <w:spacing w:beforeLines="20" w:before="48" w:afterLines="20" w:after="4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6D11BE" w14:textId="081B8279" w:rsidR="008A3687" w:rsidRPr="008A3687" w:rsidRDefault="008A3687" w:rsidP="008A3687">
      <w:pPr>
        <w:pStyle w:val="Prrafodelista"/>
        <w:spacing w:beforeLines="20" w:before="48" w:afterLines="20" w:after="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3687">
        <w:rPr>
          <w:rFonts w:ascii="Arial" w:hAnsi="Arial" w:cs="Arial"/>
          <w:color w:val="000000" w:themeColor="text1"/>
          <w:sz w:val="24"/>
          <w:szCs w:val="24"/>
        </w:rPr>
        <w:t xml:space="preserve">representa una visión de conjunto sobre la enseñanza de un tema o aspecto específico, y recoge distintas dimensiones (y sus relaciones) de los </w:t>
      </w:r>
      <w:r w:rsidRPr="008A3687">
        <w:rPr>
          <w:rFonts w:ascii="Arial" w:hAnsi="Arial" w:cs="Arial"/>
          <w:color w:val="000000" w:themeColor="text1"/>
          <w:sz w:val="24"/>
          <w:szCs w:val="24"/>
        </w:rPr>
        <w:lastRenderedPageBreak/>
        <w:t>conocimientos sobre el contenido, la enseñanza y el aprendizaje sobre dicho aspecto específico.</w:t>
      </w:r>
    </w:p>
    <w:p w14:paraId="04749FAD" w14:textId="77777777" w:rsidR="00D700D5" w:rsidRDefault="00D700D5" w:rsidP="00E26D0D"/>
    <w:sectPr w:rsidR="00D70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2021"/>
    <w:multiLevelType w:val="hybridMultilevel"/>
    <w:tmpl w:val="B4420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672"/>
    <w:multiLevelType w:val="hybridMultilevel"/>
    <w:tmpl w:val="D6480DE2"/>
    <w:lvl w:ilvl="0" w:tplc="C47A28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6069"/>
    <w:multiLevelType w:val="hybridMultilevel"/>
    <w:tmpl w:val="7C5065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751DC"/>
    <w:multiLevelType w:val="hybridMultilevel"/>
    <w:tmpl w:val="6220FEDE"/>
    <w:lvl w:ilvl="0" w:tplc="C47A28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0641"/>
    <w:multiLevelType w:val="hybridMultilevel"/>
    <w:tmpl w:val="27EA84C2"/>
    <w:lvl w:ilvl="0" w:tplc="C47A28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5"/>
    <w:rsid w:val="00161960"/>
    <w:rsid w:val="002229C5"/>
    <w:rsid w:val="00786973"/>
    <w:rsid w:val="008869D3"/>
    <w:rsid w:val="008A3687"/>
    <w:rsid w:val="00D700D5"/>
    <w:rsid w:val="00E26D0D"/>
    <w:rsid w:val="00F57DB6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4283"/>
  <w15:chartTrackingRefBased/>
  <w15:docId w15:val="{B4D91418-180C-4818-8FA6-B6BBE07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DEBANHI YOLANDA SUAREZ GARCIA</cp:lastModifiedBy>
  <cp:revision>9</cp:revision>
  <dcterms:created xsi:type="dcterms:W3CDTF">2021-03-19T23:31:00Z</dcterms:created>
  <dcterms:modified xsi:type="dcterms:W3CDTF">2021-03-20T00:10:00Z</dcterms:modified>
</cp:coreProperties>
</file>