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D2" w:rsidRPr="00A731C9" w:rsidRDefault="00A940D2" w:rsidP="00A940D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A940D2" w:rsidRPr="00A731C9" w:rsidRDefault="00A940D2" w:rsidP="00A940D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A940D2" w:rsidRPr="00A731C9" w:rsidRDefault="00A940D2" w:rsidP="00A940D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A940D2" w:rsidRDefault="00A940D2" w:rsidP="00A940D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46BAC06B" wp14:editId="05749B72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D2" w:rsidRDefault="00A940D2" w:rsidP="00A940D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A940D2" w:rsidRDefault="00A940D2" w:rsidP="00A940D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A940D2" w:rsidRPr="009C3BDF" w:rsidRDefault="00A940D2" w:rsidP="00A940D2">
      <w:pPr>
        <w:rPr>
          <w:rFonts w:ascii="Times New Roman" w:hAnsi="Times New Roman" w:cs="Times New Roman"/>
          <w:sz w:val="60"/>
          <w:szCs w:val="60"/>
          <w:lang w:val="es-ES"/>
        </w:rPr>
      </w:pPr>
    </w:p>
    <w:p w:rsidR="00A940D2" w:rsidRPr="009C3BDF" w:rsidRDefault="00A940D2" w:rsidP="00A940D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>
        <w:rPr>
          <w:rFonts w:ascii="Times New Roman" w:hAnsi="Times New Roman" w:cs="Times New Roman"/>
          <w:sz w:val="60"/>
          <w:szCs w:val="60"/>
          <w:lang w:val="es-ES"/>
        </w:rPr>
        <w:t>Tutoría Grupal</w:t>
      </w:r>
    </w:p>
    <w:p w:rsidR="00A940D2" w:rsidRPr="009C3BDF" w:rsidRDefault="00A940D2" w:rsidP="00A940D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>
        <w:rPr>
          <w:rFonts w:ascii="Times New Roman" w:hAnsi="Times New Roman" w:cs="Times New Roman"/>
          <w:sz w:val="60"/>
          <w:szCs w:val="60"/>
          <w:lang w:val="es-ES"/>
        </w:rPr>
        <w:t>Karla Griselda García Pimentel</w:t>
      </w:r>
    </w:p>
    <w:p w:rsidR="00A940D2" w:rsidRPr="009C3BDF" w:rsidRDefault="00A940D2" w:rsidP="00A940D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:rsidR="00A940D2" w:rsidRDefault="00A940D2" w:rsidP="00A940D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60"/>
          <w:szCs w:val="60"/>
          <w:lang w:val="es-ES"/>
        </w:rPr>
        <w:t>Línea de acción 1. Memoria y reflexión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:rsidR="00A940D2" w:rsidRDefault="00A940D2" w:rsidP="00A940D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A940D2" w:rsidRDefault="00A940D2" w:rsidP="00A940D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:rsidR="00A940D2" w:rsidRPr="00A731C9" w:rsidRDefault="00A940D2" w:rsidP="00A940D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Marzo</w:t>
      </w: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:rsidR="00A940D2" w:rsidRDefault="00A940D2" w:rsidP="00A940D2"/>
    <w:p w:rsidR="00A940D2" w:rsidRPr="00A940D2" w:rsidRDefault="00A940D2" w:rsidP="00A940D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940D2" w:rsidRDefault="00776448" w:rsidP="00776448">
      <w:pPr>
        <w:jc w:val="center"/>
        <w:rPr>
          <w:rFonts w:ascii="Arial" w:hAnsi="Arial" w:cs="Arial"/>
          <w:b/>
          <w:color w:val="000000" w:themeColor="text1"/>
          <w:sz w:val="36"/>
          <w:szCs w:val="24"/>
          <w:shd w:val="clear" w:color="auto" w:fill="FFFFFF"/>
        </w:rPr>
      </w:pPr>
      <w:r w:rsidRPr="00776448">
        <w:rPr>
          <w:rFonts w:ascii="Arial" w:hAnsi="Arial" w:cs="Arial"/>
          <w:b/>
          <w:color w:val="000000" w:themeColor="text1"/>
          <w:sz w:val="36"/>
          <w:szCs w:val="24"/>
          <w:shd w:val="clear" w:color="auto" w:fill="FFFFFF"/>
        </w:rPr>
        <w:t>PRINCIPALES DIFERENCIAS DEL CEREBRO DEL HOMBRE Y LA MUJER</w:t>
      </w:r>
    </w:p>
    <w:p w:rsidR="00776448" w:rsidRPr="00776448" w:rsidRDefault="00776448" w:rsidP="00776448">
      <w:pPr>
        <w:jc w:val="center"/>
        <w:rPr>
          <w:rFonts w:ascii="Arial" w:hAnsi="Arial" w:cs="Arial"/>
          <w:b/>
          <w:color w:val="000000" w:themeColor="text1"/>
          <w:sz w:val="36"/>
          <w:szCs w:val="24"/>
          <w:shd w:val="clear" w:color="auto" w:fill="FFFFFF"/>
        </w:rPr>
      </w:pPr>
    </w:p>
    <w:p w:rsidR="00DD5763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Sobre </w:t>
      </w:r>
      <w:r w:rsidRPr="007764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 </w:t>
      </w:r>
      <w:r w:rsidRPr="00776448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cerebro de las mujeres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se concluye que su hipocampo (estructura cerebral implicada en la memoria) es mayor, igual que los circuitos cerebrales para el lenguaje y la observación de las emociones de los demás. 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Además,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 cerebro posee una sobresaliente agilidad mental, habilidad para involucrarse profundamente en la amistad, capacidad casi mágica para leer las caras y el tono de voz en cuanto a emociones y estados de ánimo, y una gran destreza para desactivar conflictos.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autoestima femenina se basa en su capacidad para conservar relaciones afectuosas con el prójimo, ya que las mujeres emplean ambos lados del cerebro para responder a las experiencias emocionales, mientras que los hombres sólo un lado.</w:t>
      </w:r>
    </w:p>
    <w:p w:rsidR="00A940D2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940D2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su parte el</w:t>
      </w:r>
      <w:r w:rsidRPr="00A940D2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776448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cerebro de los hombres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tiene dos veces y media más de espacio cerebral dedicado al impulso sexual, igual que los centros cerebrales más desarrollados para la acción y la agresividad. Los chicos usan en general el lenguaje para dar órdenes a otros, hacer que se hagan las cosas, presumir, amenazar, ignorar la propuesta de un compañero y aplastar los intentos de hablar de los demás.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Su autoestima se basa en su capacidad para mantenerse independiente de los demás. Hormonalmente el cerebro masculino maduro se asemeja más al cerebro femenino maduro; los hombres pueden ser más receptivos a la </w:t>
      </w:r>
      <w:r w:rsidR="00776448"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oxitócica</w:t>
      </w:r>
      <w:r w:rsidRPr="00A940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(la hormona de los abrazos y el afecto). A medida que disminuyen los niveles de testosterona en el hombre, “ganar y perder” pueden perder relevancia, en pro de la cooperación.</w:t>
      </w:r>
    </w:p>
    <w:p w:rsidR="00A940D2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940D2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w:lastRenderedPageBreak/>
        <w:drawing>
          <wp:inline distT="0" distB="0" distL="0" distR="0" wp14:anchorId="7AFB491E" wp14:editId="1530FD6F">
            <wp:extent cx="5612130" cy="3153075"/>
            <wp:effectExtent l="0" t="0" r="7620" b="9525"/>
            <wp:docPr id="2" name="Imagen 2" descr="Cerebro masculino y feme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ebro masculino y femen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D2" w:rsidRPr="00A940D2" w:rsidRDefault="00776448" w:rsidP="00776448">
      <w:pPr>
        <w:shd w:val="clear" w:color="auto" w:fill="FFFFFF"/>
        <w:spacing w:before="600" w:after="240" w:line="540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es-MX"/>
        </w:rPr>
      </w:pPr>
      <w:r w:rsidRPr="00776448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es-MX"/>
        </w:rPr>
        <w:t>PSICOPATOLOGÍAS DE LA MEMORIA</w:t>
      </w:r>
    </w:p>
    <w:p w:rsidR="00A940D2" w:rsidRPr="00776448" w:rsidRDefault="00A940D2" w:rsidP="00A940D2">
      <w:pPr>
        <w:pStyle w:val="Ttulo3"/>
        <w:shd w:val="clear" w:color="auto" w:fill="FFFFFF"/>
        <w:spacing w:before="600" w:after="240" w:line="420" w:lineRule="atLeast"/>
        <w:rPr>
          <w:rFonts w:ascii="Arial" w:hAnsi="Arial" w:cs="Arial"/>
          <w:b/>
          <w:color w:val="000000" w:themeColor="text1"/>
        </w:rPr>
      </w:pPr>
      <w:r w:rsidRPr="00776448">
        <w:rPr>
          <w:rFonts w:ascii="Arial" w:hAnsi="Arial" w:cs="Arial"/>
          <w:b/>
          <w:color w:val="000000" w:themeColor="text1"/>
        </w:rPr>
        <w:t>1. Amnesias</w:t>
      </w:r>
    </w:p>
    <w:p w:rsidR="00A940D2" w:rsidRPr="00A940D2" w:rsidRDefault="00A940D2" w:rsidP="00A940D2">
      <w:pPr>
        <w:pStyle w:val="NormalWeb"/>
        <w:shd w:val="clear" w:color="auto" w:fill="FFFFFF"/>
        <w:spacing w:before="120" w:beforeAutospacing="0" w:after="120" w:afterAutospacing="0" w:line="450" w:lineRule="atLeast"/>
        <w:rPr>
          <w:rFonts w:ascii="Arial" w:hAnsi="Arial" w:cs="Arial"/>
          <w:color w:val="000000" w:themeColor="text1"/>
        </w:rPr>
      </w:pPr>
      <w:r w:rsidRPr="00A940D2">
        <w:rPr>
          <w:rFonts w:ascii="Arial" w:hAnsi="Arial" w:cs="Arial"/>
          <w:color w:val="000000" w:themeColor="text1"/>
        </w:rPr>
        <w:t>El término "amnesia", de origen griego (y que podría traducirse como "olvido"), subsume </w:t>
      </w:r>
      <w:r w:rsidRPr="00776448">
        <w:rPr>
          <w:rStyle w:val="Textoennegrita"/>
          <w:rFonts w:ascii="Arial" w:hAnsi="Arial" w:cs="Arial"/>
          <w:b w:val="0"/>
          <w:color w:val="000000" w:themeColor="text1"/>
        </w:rPr>
        <w:t>un grupo extenso de alteraciones de la memoria; heterogéneo en lo que concierne a su origen, pronóstico y expresión clínica</w:t>
      </w:r>
      <w:r w:rsidRPr="00776448">
        <w:rPr>
          <w:rFonts w:ascii="Arial" w:hAnsi="Arial" w:cs="Arial"/>
          <w:b/>
          <w:color w:val="000000" w:themeColor="text1"/>
        </w:rPr>
        <w:t>.</w:t>
      </w:r>
      <w:r w:rsidRPr="00A940D2">
        <w:rPr>
          <w:rFonts w:ascii="Arial" w:hAnsi="Arial" w:cs="Arial"/>
          <w:color w:val="000000" w:themeColor="text1"/>
        </w:rPr>
        <w:t xml:space="preserve"> Seguidamente se ahondará en cada una de ellas.</w:t>
      </w:r>
    </w:p>
    <w:p w:rsidR="00A940D2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940D2" w:rsidRPr="00776448" w:rsidRDefault="00A940D2" w:rsidP="00A940D2">
      <w:pPr>
        <w:pStyle w:val="Ttulo3"/>
        <w:shd w:val="clear" w:color="auto" w:fill="FFFFFF"/>
        <w:spacing w:before="600" w:after="240" w:line="420" w:lineRule="atLeast"/>
        <w:rPr>
          <w:rFonts w:ascii="Arial" w:hAnsi="Arial" w:cs="Arial"/>
          <w:b/>
          <w:color w:val="000000" w:themeColor="text1"/>
        </w:rPr>
      </w:pPr>
      <w:r w:rsidRPr="00776448">
        <w:rPr>
          <w:rFonts w:ascii="Arial" w:hAnsi="Arial" w:cs="Arial"/>
          <w:b/>
          <w:color w:val="000000" w:themeColor="text1"/>
        </w:rPr>
        <w:t>2. Anomalías del recuerdo</w:t>
      </w:r>
    </w:p>
    <w:p w:rsidR="00A940D2" w:rsidRPr="00A940D2" w:rsidRDefault="00A940D2" w:rsidP="00A940D2">
      <w:pPr>
        <w:pStyle w:val="NormalWeb"/>
        <w:shd w:val="clear" w:color="auto" w:fill="FFFFFF"/>
        <w:spacing w:before="120" w:beforeAutospacing="0" w:after="120" w:afterAutospacing="0" w:line="450" w:lineRule="atLeast"/>
        <w:rPr>
          <w:rFonts w:ascii="Arial" w:hAnsi="Arial" w:cs="Arial"/>
          <w:color w:val="000000" w:themeColor="text1"/>
        </w:rPr>
      </w:pPr>
      <w:r w:rsidRPr="00A940D2">
        <w:rPr>
          <w:rFonts w:ascii="Arial" w:hAnsi="Arial" w:cs="Arial"/>
          <w:color w:val="000000" w:themeColor="text1"/>
        </w:rPr>
        <w:t>Las anomalías del recuerdo son habituales en la población general, aunque algunas de ellas se manifiestan preferentemente bajo el influjo del consumo de ciertas sustancias o de una patología del sistema nervioso central. En las líneas sucesivas exploraremos cuáles son y a qué pueden deberse.</w:t>
      </w:r>
    </w:p>
    <w:p w:rsidR="00A940D2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940D2" w:rsidRPr="00776448" w:rsidRDefault="00A940D2" w:rsidP="00A940D2">
      <w:pPr>
        <w:pStyle w:val="Ttulo3"/>
        <w:shd w:val="clear" w:color="auto" w:fill="FFFFFF"/>
        <w:spacing w:before="600" w:after="240" w:line="420" w:lineRule="atLeast"/>
        <w:rPr>
          <w:rFonts w:ascii="Arial" w:hAnsi="Arial" w:cs="Arial"/>
          <w:b/>
          <w:color w:val="000000" w:themeColor="text1"/>
        </w:rPr>
      </w:pPr>
      <w:r w:rsidRPr="00776448">
        <w:rPr>
          <w:rFonts w:ascii="Arial" w:hAnsi="Arial" w:cs="Arial"/>
          <w:b/>
          <w:color w:val="000000" w:themeColor="text1"/>
        </w:rPr>
        <w:t>3. Anomalías del reconocimiento</w:t>
      </w:r>
    </w:p>
    <w:p w:rsidR="00A940D2" w:rsidRPr="00A940D2" w:rsidRDefault="00A940D2" w:rsidP="00A940D2">
      <w:pPr>
        <w:pStyle w:val="NormalWeb"/>
        <w:shd w:val="clear" w:color="auto" w:fill="FFFFFF"/>
        <w:spacing w:before="120" w:beforeAutospacing="0" w:after="120" w:afterAutospacing="0" w:line="450" w:lineRule="atLeast"/>
        <w:rPr>
          <w:rFonts w:ascii="Arial" w:hAnsi="Arial" w:cs="Arial"/>
          <w:color w:val="000000" w:themeColor="text1"/>
        </w:rPr>
      </w:pPr>
      <w:r w:rsidRPr="00A940D2">
        <w:rPr>
          <w:rFonts w:ascii="Arial" w:hAnsi="Arial" w:cs="Arial"/>
          <w:color w:val="000000" w:themeColor="text1"/>
        </w:rPr>
        <w:t>Las anomalías del reconocimiento son errores en la forma en que se procesa un recuerdo o un estímulo ubicado en el presente, y que se podrían resumir como falsos reconocimientos positivos (sensación de que se "recuerda" un hecho que se está viviendo por primera vez) o falsos reconocimientos negativos (percepción de que algo vivido con anterioridad surge ante nuestros ojos como totalmente nuevo).</w:t>
      </w:r>
    </w:p>
    <w:p w:rsidR="00A940D2" w:rsidRPr="00A940D2" w:rsidRDefault="00A940D2" w:rsidP="00A940D2">
      <w:pPr>
        <w:pStyle w:val="NormalWeb"/>
        <w:shd w:val="clear" w:color="auto" w:fill="FFFFFF"/>
        <w:spacing w:before="120" w:beforeAutospacing="0" w:after="120" w:afterAutospacing="0" w:line="450" w:lineRule="atLeast"/>
        <w:rPr>
          <w:rFonts w:ascii="Arial" w:hAnsi="Arial" w:cs="Arial"/>
          <w:color w:val="000000" w:themeColor="text1"/>
        </w:rPr>
      </w:pPr>
    </w:p>
    <w:p w:rsidR="00A940D2" w:rsidRPr="00A940D2" w:rsidRDefault="00A940D2" w:rsidP="00A940D2">
      <w:pPr>
        <w:pStyle w:val="NormalWeb"/>
        <w:shd w:val="clear" w:color="auto" w:fill="FFFFFF"/>
        <w:spacing w:before="120" w:beforeAutospacing="0" w:after="120" w:afterAutospacing="0" w:line="450" w:lineRule="atLeast"/>
        <w:rPr>
          <w:rFonts w:ascii="Arial" w:hAnsi="Arial" w:cs="Arial"/>
          <w:color w:val="000000" w:themeColor="text1"/>
        </w:rPr>
      </w:pPr>
    </w:p>
    <w:p w:rsidR="00A940D2" w:rsidRPr="00A940D2" w:rsidRDefault="00A940D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A940D2" w:rsidRPr="00A94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D2"/>
    <w:rsid w:val="000376FA"/>
    <w:rsid w:val="007171AC"/>
    <w:rsid w:val="00776448"/>
    <w:rsid w:val="00A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FEBA"/>
  <w15:chartTrackingRefBased/>
  <w15:docId w15:val="{07239553-41C7-4655-954E-6AD979E4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D2"/>
  </w:style>
  <w:style w:type="paragraph" w:styleId="Ttulo2">
    <w:name w:val="heading 2"/>
    <w:basedOn w:val="Normal"/>
    <w:link w:val="Ttulo2Car"/>
    <w:uiPriority w:val="9"/>
    <w:qFormat/>
    <w:rsid w:val="00A94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40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40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40D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940D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40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940D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2021-03-23T05:47:00Z</dcterms:created>
  <dcterms:modified xsi:type="dcterms:W3CDTF">2021-03-23T06:00:00Z</dcterms:modified>
</cp:coreProperties>
</file>