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46" w:rsidRDefault="004C2E46">
      <w:r>
        <w:rPr>
          <w:noProof/>
        </w:rPr>
        <w:drawing>
          <wp:anchor distT="0" distB="0" distL="114300" distR="114300" simplePos="0" relativeHeight="251658240" behindDoc="1" locked="0" layoutInCell="1" allowOverlap="1" wp14:anchorId="33178A62">
            <wp:simplePos x="0" y="0"/>
            <wp:positionH relativeFrom="column">
              <wp:posOffset>1424124</wp:posOffset>
            </wp:positionH>
            <wp:positionV relativeFrom="paragraph">
              <wp:posOffset>-557076</wp:posOffset>
            </wp:positionV>
            <wp:extent cx="1859280" cy="13836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E46" w:rsidRDefault="004C2E46"/>
    <w:p w:rsidR="004C2E46" w:rsidRPr="005472B4" w:rsidRDefault="004C2E46">
      <w:pPr>
        <w:rPr>
          <w:sz w:val="24"/>
          <w:szCs w:val="24"/>
        </w:rPr>
      </w:pPr>
    </w:p>
    <w:p w:rsidR="004C2E46" w:rsidRPr="005472B4" w:rsidRDefault="004C2E46">
      <w:pPr>
        <w:rPr>
          <w:sz w:val="24"/>
          <w:szCs w:val="24"/>
        </w:rPr>
      </w:pPr>
    </w:p>
    <w:p w:rsidR="004C2E46" w:rsidRPr="005472B4" w:rsidRDefault="004A2087" w:rsidP="004A2087">
      <w:pPr>
        <w:jc w:val="center"/>
        <w:rPr>
          <w:rFonts w:ascii="Bradley Hand ITC" w:hAnsi="Bradley Hand ITC"/>
          <w:b/>
          <w:bCs/>
          <w:color w:val="CC99FF"/>
          <w:sz w:val="56"/>
          <w:szCs w:val="56"/>
        </w:rPr>
      </w:pPr>
      <w:r w:rsidRPr="005472B4">
        <w:rPr>
          <w:rFonts w:ascii="Bradley Hand ITC" w:hAnsi="Bradley Hand ITC"/>
          <w:b/>
          <w:bCs/>
          <w:color w:val="CC99FF"/>
          <w:sz w:val="52"/>
          <w:szCs w:val="52"/>
        </w:rPr>
        <w:t xml:space="preserve">Escuela Normal de Educación </w:t>
      </w:r>
      <w:r w:rsidRPr="005472B4">
        <w:rPr>
          <w:rFonts w:ascii="Bradley Hand ITC" w:hAnsi="Bradley Hand ITC"/>
          <w:b/>
          <w:bCs/>
          <w:color w:val="CC99FF"/>
          <w:sz w:val="56"/>
          <w:szCs w:val="56"/>
        </w:rPr>
        <w:t>Preescolar.</w:t>
      </w:r>
    </w:p>
    <w:p w:rsidR="005472B4" w:rsidRPr="005472B4" w:rsidRDefault="005472B4" w:rsidP="004A2087">
      <w:pPr>
        <w:jc w:val="center"/>
        <w:rPr>
          <w:rFonts w:ascii="Bradley Hand ITC" w:hAnsi="Bradley Hand ITC"/>
          <w:b/>
          <w:bCs/>
          <w:color w:val="CC99FF"/>
          <w:sz w:val="56"/>
          <w:szCs w:val="56"/>
        </w:rPr>
      </w:pPr>
      <w:r w:rsidRPr="005472B4">
        <w:rPr>
          <w:rFonts w:ascii="Bradley Hand ITC" w:hAnsi="Bradley Hand ITC"/>
          <w:b/>
          <w:bCs/>
          <w:color w:val="CC99FF"/>
          <w:sz w:val="56"/>
          <w:szCs w:val="56"/>
        </w:rPr>
        <w:t>Lic. en Educación Preescolar.</w:t>
      </w:r>
    </w:p>
    <w:p w:rsidR="005472B4" w:rsidRPr="005472B4" w:rsidRDefault="005472B4" w:rsidP="004A2087">
      <w:pPr>
        <w:jc w:val="center"/>
        <w:rPr>
          <w:rFonts w:ascii="Bradley Hand ITC" w:hAnsi="Bradley Hand ITC"/>
          <w:b/>
          <w:bCs/>
          <w:color w:val="CC99FF"/>
          <w:sz w:val="72"/>
          <w:szCs w:val="72"/>
        </w:rPr>
      </w:pPr>
      <w:r w:rsidRPr="005472B4">
        <w:rPr>
          <w:rFonts w:ascii="Bradley Hand ITC" w:hAnsi="Bradley Hand ITC"/>
          <w:b/>
          <w:bCs/>
          <w:color w:val="CC99FF"/>
          <w:sz w:val="72"/>
          <w:szCs w:val="72"/>
        </w:rPr>
        <w:t>Síntesis.</w:t>
      </w:r>
    </w:p>
    <w:p w:rsidR="005472B4" w:rsidRPr="005472B4" w:rsidRDefault="005472B4" w:rsidP="004A2087">
      <w:pPr>
        <w:jc w:val="center"/>
        <w:rPr>
          <w:rFonts w:ascii="Bradley Hand ITC" w:hAnsi="Bradley Hand ITC"/>
          <w:color w:val="CC99FF"/>
          <w:sz w:val="52"/>
          <w:szCs w:val="52"/>
        </w:rPr>
      </w:pPr>
      <w:r w:rsidRPr="005472B4">
        <w:rPr>
          <w:rFonts w:ascii="Bradley Hand ITC" w:hAnsi="Bradley Hand ITC"/>
          <w:b/>
          <w:bCs/>
          <w:color w:val="CC99FF"/>
          <w:sz w:val="56"/>
          <w:szCs w:val="56"/>
        </w:rPr>
        <w:t xml:space="preserve">Curso: </w:t>
      </w:r>
      <w:r w:rsidRPr="005472B4">
        <w:rPr>
          <w:rFonts w:ascii="Bradley Hand ITC" w:hAnsi="Bradley Hand ITC"/>
          <w:color w:val="CC99FF"/>
          <w:sz w:val="52"/>
          <w:szCs w:val="52"/>
        </w:rPr>
        <w:t>estrategias de trabajo docente.</w:t>
      </w:r>
    </w:p>
    <w:p w:rsidR="005472B4" w:rsidRPr="005472B4" w:rsidRDefault="005472B4" w:rsidP="004A2087">
      <w:pPr>
        <w:jc w:val="center"/>
        <w:rPr>
          <w:rFonts w:ascii="Bradley Hand ITC" w:hAnsi="Bradley Hand ITC"/>
          <w:color w:val="CC99FF"/>
          <w:sz w:val="52"/>
          <w:szCs w:val="52"/>
        </w:rPr>
      </w:pPr>
      <w:r w:rsidRPr="005472B4">
        <w:rPr>
          <w:rFonts w:ascii="Bradley Hand ITC" w:hAnsi="Bradley Hand ITC"/>
          <w:b/>
          <w:bCs/>
          <w:color w:val="CC99FF"/>
          <w:sz w:val="56"/>
          <w:szCs w:val="56"/>
        </w:rPr>
        <w:t xml:space="preserve">Mta. </w:t>
      </w:r>
      <w:r w:rsidRPr="005472B4">
        <w:rPr>
          <w:rFonts w:ascii="Bradley Hand ITC" w:hAnsi="Bradley Hand ITC"/>
          <w:color w:val="CC99FF"/>
          <w:sz w:val="52"/>
          <w:szCs w:val="52"/>
        </w:rPr>
        <w:t>Angelica María Rocca Valdes.</w:t>
      </w:r>
    </w:p>
    <w:p w:rsidR="005472B4" w:rsidRPr="005472B4" w:rsidRDefault="005472B4" w:rsidP="004A2087">
      <w:pPr>
        <w:jc w:val="center"/>
        <w:rPr>
          <w:rFonts w:ascii="Bradley Hand ITC" w:hAnsi="Bradley Hand ITC"/>
          <w:color w:val="CC99FF"/>
          <w:sz w:val="56"/>
          <w:szCs w:val="56"/>
        </w:rPr>
      </w:pPr>
      <w:r w:rsidRPr="005472B4">
        <w:rPr>
          <w:rFonts w:ascii="Bradley Hand ITC" w:hAnsi="Bradley Hand ITC"/>
          <w:b/>
          <w:bCs/>
          <w:color w:val="CC99FF"/>
          <w:sz w:val="56"/>
          <w:szCs w:val="56"/>
        </w:rPr>
        <w:t xml:space="preserve">Alumna: </w:t>
      </w:r>
      <w:r w:rsidRPr="005472B4">
        <w:rPr>
          <w:rFonts w:ascii="Bradley Hand ITC" w:hAnsi="Bradley Hand ITC"/>
          <w:color w:val="CC99FF"/>
          <w:sz w:val="56"/>
          <w:szCs w:val="56"/>
        </w:rPr>
        <w:t>Fatima Cecilia Alonso Alvarado.</w:t>
      </w:r>
    </w:p>
    <w:p w:rsidR="005472B4" w:rsidRPr="005472B4" w:rsidRDefault="005472B4" w:rsidP="004A2087">
      <w:pPr>
        <w:jc w:val="center"/>
        <w:rPr>
          <w:rFonts w:ascii="Bradley Hand ITC" w:hAnsi="Bradley Hand ITC"/>
          <w:color w:val="CC99FF"/>
          <w:sz w:val="56"/>
          <w:szCs w:val="56"/>
        </w:rPr>
      </w:pPr>
      <w:r w:rsidRPr="005472B4">
        <w:rPr>
          <w:rFonts w:ascii="Bradley Hand ITC" w:hAnsi="Bradley Hand ITC"/>
          <w:color w:val="CC99FF"/>
          <w:sz w:val="56"/>
          <w:szCs w:val="56"/>
        </w:rPr>
        <w:t>N.L 2</w:t>
      </w:r>
    </w:p>
    <w:p w:rsidR="005472B4" w:rsidRPr="005472B4" w:rsidRDefault="005472B4" w:rsidP="004A2087">
      <w:pPr>
        <w:jc w:val="center"/>
        <w:rPr>
          <w:rFonts w:ascii="Bradley Hand ITC" w:hAnsi="Bradley Hand ITC"/>
          <w:color w:val="CC99FF"/>
          <w:sz w:val="56"/>
          <w:szCs w:val="56"/>
        </w:rPr>
      </w:pPr>
    </w:p>
    <w:p w:rsidR="005472B4" w:rsidRDefault="005472B4" w:rsidP="004A2087">
      <w:pPr>
        <w:jc w:val="center"/>
        <w:rPr>
          <w:rFonts w:ascii="Bradley Hand ITC" w:hAnsi="Bradley Hand ITC"/>
          <w:color w:val="CC99FF"/>
          <w:sz w:val="56"/>
          <w:szCs w:val="56"/>
        </w:rPr>
      </w:pPr>
      <w:r w:rsidRPr="005472B4">
        <w:rPr>
          <w:rFonts w:ascii="Bradley Hand ITC" w:hAnsi="Bradley Hand ITC"/>
          <w:color w:val="CC99FF"/>
          <w:sz w:val="56"/>
          <w:szCs w:val="56"/>
        </w:rPr>
        <w:t>2°A</w:t>
      </w:r>
    </w:p>
    <w:p w:rsidR="005472B4" w:rsidRDefault="005472B4" w:rsidP="004A2087">
      <w:pPr>
        <w:jc w:val="center"/>
        <w:rPr>
          <w:rFonts w:ascii="Bradley Hand ITC" w:hAnsi="Bradley Hand ITC"/>
          <w:color w:val="CC99FF"/>
          <w:sz w:val="56"/>
          <w:szCs w:val="56"/>
        </w:rPr>
      </w:pPr>
    </w:p>
    <w:p w:rsidR="0086323C" w:rsidRDefault="005472B4" w:rsidP="005472B4">
      <w:pPr>
        <w:rPr>
          <w:rFonts w:ascii="Cavolini" w:hAnsi="Cavolini" w:cs="Cavolini"/>
          <w:color w:val="000000" w:themeColor="text1"/>
          <w:sz w:val="28"/>
          <w:szCs w:val="28"/>
        </w:rPr>
      </w:pPr>
      <w:r>
        <w:rPr>
          <w:rFonts w:ascii="Cavolini" w:hAnsi="Cavolini" w:cs="Cavolini"/>
          <w:color w:val="CC99FF"/>
          <w:sz w:val="28"/>
          <w:szCs w:val="28"/>
        </w:rPr>
        <w:lastRenderedPageBreak/>
        <w:t xml:space="preserve">Campo de Lenguaje: </w:t>
      </w:r>
      <w:r w:rsidR="0086323C">
        <w:rPr>
          <w:rFonts w:ascii="Cavolini" w:hAnsi="Cavolini" w:cs="Cavolini"/>
          <w:color w:val="000000" w:themeColor="text1"/>
          <w:sz w:val="28"/>
          <w:szCs w:val="28"/>
        </w:rPr>
        <w:t>es una herramienta de comunicación para aprender, integrarse a la cultura e interactuar en sociedad.</w:t>
      </w:r>
    </w:p>
    <w:p w:rsidR="0086323C" w:rsidRDefault="0086323C" w:rsidP="005472B4">
      <w:pPr>
        <w:rPr>
          <w:rFonts w:ascii="Cavolini" w:hAnsi="Cavolini" w:cs="Cavolini"/>
          <w:color w:val="000000" w:themeColor="text1"/>
          <w:sz w:val="28"/>
          <w:szCs w:val="28"/>
        </w:rPr>
      </w:pPr>
      <w:r>
        <w:rPr>
          <w:rFonts w:ascii="Cavolini" w:hAnsi="Cavolini" w:cs="Cavolini"/>
          <w:color w:val="000000" w:themeColor="text1"/>
          <w:sz w:val="28"/>
          <w:szCs w:val="28"/>
        </w:rPr>
        <w:t>Su uso permite obtener y dar información diversa, establecer y mantener relaciones interpersonales, expresar sensaciones, emociones, sentimientos y deseos; manifestar, intercambiar, confrontar, defender y proponer ideas y opiniones y valorar los datos.</w:t>
      </w:r>
    </w:p>
    <w:p w:rsidR="0086323C" w:rsidRDefault="0086323C" w:rsidP="005472B4">
      <w:pPr>
        <w:rPr>
          <w:rFonts w:ascii="Cavolini" w:hAnsi="Cavolini" w:cs="Cavolini"/>
          <w:color w:val="000000" w:themeColor="text1"/>
          <w:sz w:val="28"/>
          <w:szCs w:val="28"/>
        </w:rPr>
      </w:pPr>
      <w:r>
        <w:rPr>
          <w:rFonts w:ascii="Cavolini" w:hAnsi="Cavolini" w:cs="Cavolini"/>
          <w:color w:val="000000" w:themeColor="text1"/>
          <w:sz w:val="28"/>
          <w:szCs w:val="28"/>
        </w:rPr>
        <w:t>El lenguaje se adquiere en la interacción social: todas las personas Aprendemos y desarrollamos nuestro lenguaje cada vez que tenemos oportunidad y necesidad de comunicarnos, las practicas del lenguaje han sido y son parte de la historia social.</w:t>
      </w:r>
    </w:p>
    <w:p w:rsidR="0086323C" w:rsidRDefault="00847AFE" w:rsidP="005472B4">
      <w:pPr>
        <w:rPr>
          <w:rFonts w:ascii="Cavolini" w:hAnsi="Cavolini" w:cs="Cavolini"/>
          <w:color w:val="000000" w:themeColor="text1"/>
          <w:sz w:val="28"/>
          <w:szCs w:val="28"/>
        </w:rPr>
      </w:pPr>
      <w:r w:rsidRPr="00847AFE">
        <w:drawing>
          <wp:anchor distT="0" distB="0" distL="114300" distR="114300" simplePos="0" relativeHeight="251659264" behindDoc="1" locked="0" layoutInCell="1" allowOverlap="1" wp14:anchorId="269E7AA4">
            <wp:simplePos x="0" y="0"/>
            <wp:positionH relativeFrom="column">
              <wp:posOffset>1695450</wp:posOffset>
            </wp:positionH>
            <wp:positionV relativeFrom="paragraph">
              <wp:posOffset>6985</wp:posOffset>
            </wp:positionV>
            <wp:extent cx="1519555" cy="1512570"/>
            <wp:effectExtent l="0" t="0" r="4445" b="0"/>
            <wp:wrapTight wrapText="bothSides">
              <wp:wrapPolygon edited="0">
                <wp:start x="0" y="0"/>
                <wp:lineTo x="0" y="21219"/>
                <wp:lineTo x="21392" y="21219"/>
                <wp:lineTo x="2139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AFE" w:rsidRDefault="00847AFE" w:rsidP="005472B4">
      <w:pPr>
        <w:rPr>
          <w:rFonts w:ascii="Cavolini" w:hAnsi="Cavolini" w:cs="Cavolini"/>
          <w:color w:val="CC99FF"/>
          <w:sz w:val="28"/>
          <w:szCs w:val="28"/>
        </w:rPr>
      </w:pPr>
    </w:p>
    <w:p w:rsidR="00847AFE" w:rsidRDefault="00847AFE" w:rsidP="005472B4">
      <w:pPr>
        <w:rPr>
          <w:rFonts w:ascii="Cavolini" w:hAnsi="Cavolini" w:cs="Cavolini"/>
          <w:color w:val="CC99FF"/>
          <w:sz w:val="28"/>
          <w:szCs w:val="28"/>
        </w:rPr>
      </w:pPr>
    </w:p>
    <w:p w:rsidR="00847AFE" w:rsidRDefault="00847AFE" w:rsidP="005472B4">
      <w:pPr>
        <w:rPr>
          <w:rFonts w:ascii="Cavolini" w:hAnsi="Cavolini" w:cs="Cavolini"/>
          <w:color w:val="CC99FF"/>
          <w:sz w:val="28"/>
          <w:szCs w:val="28"/>
        </w:rPr>
      </w:pPr>
    </w:p>
    <w:p w:rsidR="00847AFE" w:rsidRDefault="00847AFE" w:rsidP="005472B4">
      <w:pPr>
        <w:rPr>
          <w:rFonts w:ascii="Cavolini" w:hAnsi="Cavolini" w:cs="Cavolini"/>
          <w:color w:val="CC99FF"/>
          <w:sz w:val="28"/>
          <w:szCs w:val="28"/>
        </w:rPr>
      </w:pPr>
    </w:p>
    <w:p w:rsidR="00847AFE" w:rsidRDefault="0086323C" w:rsidP="005472B4">
      <w:pPr>
        <w:rPr>
          <w:rFonts w:ascii="Cavolini" w:hAnsi="Cavolini" w:cs="Cavolini"/>
          <w:color w:val="000000" w:themeColor="text1"/>
          <w:sz w:val="28"/>
          <w:szCs w:val="28"/>
        </w:rPr>
      </w:pPr>
      <w:r>
        <w:rPr>
          <w:rFonts w:ascii="Cavolini" w:hAnsi="Cavolini" w:cs="Cavolini"/>
          <w:color w:val="CC99FF"/>
          <w:sz w:val="28"/>
          <w:szCs w:val="28"/>
        </w:rPr>
        <w:t xml:space="preserve">Campo de pensamiento matemático: </w:t>
      </w:r>
      <w:r w:rsidR="00847AFE">
        <w:rPr>
          <w:rFonts w:ascii="Cavolini" w:hAnsi="Cavolini" w:cs="Cavolini"/>
          <w:color w:val="000000" w:themeColor="text1"/>
          <w:sz w:val="28"/>
          <w:szCs w:val="28"/>
        </w:rPr>
        <w:t>este campo no se refiere a desarrollar las matemáticas, sino niños con pensamiento matemático.</w:t>
      </w:r>
    </w:p>
    <w:p w:rsidR="005472B4" w:rsidRPr="0086323C" w:rsidRDefault="00847AFE" w:rsidP="005472B4">
      <w:pPr>
        <w:rPr>
          <w:rFonts w:ascii="Cavolini" w:hAnsi="Cavolini" w:cs="Cavolini"/>
          <w:color w:val="000000" w:themeColor="text1"/>
          <w:sz w:val="28"/>
          <w:szCs w:val="28"/>
        </w:rPr>
      </w:pPr>
      <w:bookmarkStart w:id="0" w:name="_GoBack"/>
      <w:r w:rsidRPr="00847AFE">
        <w:drawing>
          <wp:anchor distT="0" distB="0" distL="114300" distR="114300" simplePos="0" relativeHeight="251660288" behindDoc="1" locked="0" layoutInCell="1" allowOverlap="1" wp14:anchorId="7FE50980">
            <wp:simplePos x="0" y="0"/>
            <wp:positionH relativeFrom="margin">
              <wp:posOffset>1771922</wp:posOffset>
            </wp:positionH>
            <wp:positionV relativeFrom="paragraph">
              <wp:posOffset>1131569</wp:posOffset>
            </wp:positionV>
            <wp:extent cx="2066290" cy="1023257"/>
            <wp:effectExtent l="0" t="0" r="0" b="5715"/>
            <wp:wrapTight wrapText="bothSides">
              <wp:wrapPolygon edited="0">
                <wp:start x="0" y="0"/>
                <wp:lineTo x="0" y="21318"/>
                <wp:lineTo x="21308" y="21318"/>
                <wp:lineTo x="2130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02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avolini" w:hAnsi="Cavolini" w:cs="Cavolini"/>
          <w:color w:val="000000" w:themeColor="text1"/>
          <w:sz w:val="28"/>
          <w:szCs w:val="28"/>
        </w:rPr>
        <w:t>Propiciar el desarrollo del razonamiento por medio de juicios cuantitativos y la resolución de situaciones problemáticas a través de la comprensión de nociones elementales a otras más complejas.</w:t>
      </w:r>
      <w:r w:rsidR="0086323C">
        <w:rPr>
          <w:rFonts w:ascii="Cavolini" w:hAnsi="Cavolini" w:cs="Cavolini"/>
          <w:color w:val="000000" w:themeColor="text1"/>
          <w:sz w:val="28"/>
          <w:szCs w:val="28"/>
        </w:rPr>
        <w:t xml:space="preserve"> </w:t>
      </w:r>
    </w:p>
    <w:sectPr w:rsidR="005472B4" w:rsidRPr="0086323C" w:rsidSect="004C2E46"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46"/>
    <w:rsid w:val="004A2087"/>
    <w:rsid w:val="004C2E46"/>
    <w:rsid w:val="005472B4"/>
    <w:rsid w:val="00847AFE"/>
    <w:rsid w:val="0086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28E"/>
  <w15:chartTrackingRefBased/>
  <w15:docId w15:val="{BD2B7C1D-032A-46B5-AA53-D5E90CBA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Weasley</dc:creator>
  <cp:keywords/>
  <dc:description/>
  <cp:lastModifiedBy>Alejandra Weasley</cp:lastModifiedBy>
  <cp:revision>1</cp:revision>
  <dcterms:created xsi:type="dcterms:W3CDTF">2021-03-20T20:13:00Z</dcterms:created>
  <dcterms:modified xsi:type="dcterms:W3CDTF">2021-03-20T22:28:00Z</dcterms:modified>
</cp:coreProperties>
</file>