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16167" w14:textId="77777777" w:rsidR="00B14442" w:rsidRDefault="00B14442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176A906" w14:textId="0D518AA5" w:rsidR="00B14442" w:rsidRPr="00BE67C4" w:rsidRDefault="00B14442" w:rsidP="00B14442">
      <w:pPr>
        <w:jc w:val="center"/>
        <w:rPr>
          <w:rFonts w:ascii="Century Gothic" w:hAnsi="Century Gothic"/>
          <w:b/>
          <w:bCs/>
          <w:sz w:val="28"/>
        </w:rPr>
      </w:pPr>
      <w:r w:rsidRPr="00BE67C4">
        <w:rPr>
          <w:rFonts w:ascii="Century Gothic" w:hAnsi="Century Gothic"/>
          <w:b/>
          <w:bCs/>
          <w:sz w:val="28"/>
        </w:rPr>
        <w:t>ESCUELA NORMAL DE EDUCACIÓN PREESCOLAR</w:t>
      </w:r>
    </w:p>
    <w:p w14:paraId="0C40A0A7" w14:textId="7921D61D" w:rsidR="00B14442" w:rsidRPr="00BE67C4" w:rsidRDefault="00B14442" w:rsidP="00B14442">
      <w:pPr>
        <w:jc w:val="center"/>
        <w:rPr>
          <w:rFonts w:ascii="Century Gothic" w:hAnsi="Century Gothic"/>
          <w:b/>
          <w:bCs/>
          <w:sz w:val="28"/>
        </w:rPr>
      </w:pPr>
      <w:r w:rsidRPr="00BE67C4">
        <w:rPr>
          <w:rFonts w:ascii="Century Gothic" w:hAnsi="Century Gothic"/>
          <w:b/>
          <w:bCs/>
          <w:sz w:val="28"/>
        </w:rPr>
        <w:t>Licenciatura en Educación Preescolar</w:t>
      </w:r>
    </w:p>
    <w:p w14:paraId="221FFE50" w14:textId="3755A998" w:rsidR="00B14442" w:rsidRDefault="00B14442" w:rsidP="00B14442">
      <w:pPr>
        <w:jc w:val="center"/>
        <w:rPr>
          <w:rFonts w:ascii="Century Gothic" w:hAnsi="Century Gothic"/>
          <w:b/>
          <w:bCs/>
        </w:rPr>
      </w:pPr>
      <w:r>
        <w:rPr>
          <w:noProof/>
        </w:rPr>
        <w:drawing>
          <wp:inline distT="0" distB="0" distL="0" distR="0" wp14:anchorId="709F29C6" wp14:editId="34BBD5B3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0B3A" w14:textId="4E436A74" w:rsidR="00B14442" w:rsidRPr="00BE67C4" w:rsidRDefault="00B14442" w:rsidP="00B14442">
      <w:pPr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</w:rPr>
        <w:tab/>
      </w:r>
      <w:r w:rsidRPr="00BE67C4">
        <w:rPr>
          <w:rFonts w:ascii="Century Gothic" w:hAnsi="Century Gothic"/>
          <w:b/>
          <w:bCs/>
          <w:sz w:val="24"/>
        </w:rPr>
        <w:t>ESTRATEGIAS PARA EL DESARROLLO SOCIOEMOCIONAL</w:t>
      </w:r>
    </w:p>
    <w:p w14:paraId="0B57C913" w14:textId="15A753ED" w:rsidR="00BE67C4" w:rsidRPr="00BE67C4" w:rsidRDefault="00BE67C4" w:rsidP="00B14442">
      <w:pPr>
        <w:jc w:val="center"/>
        <w:rPr>
          <w:rFonts w:ascii="Century Gothic" w:hAnsi="Century Gothic"/>
          <w:b/>
          <w:bCs/>
          <w:sz w:val="24"/>
        </w:rPr>
      </w:pPr>
      <w:r w:rsidRPr="00BE67C4">
        <w:rPr>
          <w:rFonts w:ascii="Century Gothic" w:hAnsi="Century Gothic"/>
          <w:b/>
          <w:bCs/>
          <w:sz w:val="24"/>
        </w:rPr>
        <w:t xml:space="preserve">Docente: </w:t>
      </w:r>
      <w:r w:rsidRPr="00BE67C4">
        <w:rPr>
          <w:rFonts w:ascii="Century Gothic" w:hAnsi="Century Gothic"/>
          <w:bCs/>
          <w:sz w:val="24"/>
        </w:rPr>
        <w:t>Eduarda Maldonado Martínez</w:t>
      </w:r>
    </w:p>
    <w:p w14:paraId="5071883B" w14:textId="734D6BCC" w:rsidR="00B14442" w:rsidRPr="00BE67C4" w:rsidRDefault="00B14442" w:rsidP="00B14442">
      <w:pPr>
        <w:jc w:val="center"/>
        <w:rPr>
          <w:rFonts w:ascii="Century Gothic" w:hAnsi="Century Gothic"/>
          <w:b/>
          <w:bCs/>
          <w:sz w:val="24"/>
        </w:rPr>
      </w:pPr>
      <w:r w:rsidRPr="00BE67C4">
        <w:rPr>
          <w:rFonts w:ascii="Century Gothic" w:hAnsi="Century Gothic"/>
          <w:b/>
          <w:bCs/>
          <w:sz w:val="24"/>
        </w:rPr>
        <w:t>“</w:t>
      </w:r>
      <w:r w:rsidR="00BE67C4" w:rsidRPr="00BE67C4">
        <w:rPr>
          <w:rFonts w:ascii="Century Gothic" w:hAnsi="Century Gothic"/>
          <w:b/>
          <w:bCs/>
          <w:sz w:val="24"/>
        </w:rPr>
        <w:t>Teoría</w:t>
      </w:r>
      <w:r w:rsidRPr="00BE67C4">
        <w:rPr>
          <w:rFonts w:ascii="Century Gothic" w:hAnsi="Century Gothic"/>
          <w:b/>
          <w:bCs/>
          <w:sz w:val="24"/>
        </w:rPr>
        <w:t xml:space="preserve"> del desarrollo psicosocial y </w:t>
      </w:r>
      <w:r w:rsidR="00BE67C4" w:rsidRPr="00BE67C4">
        <w:rPr>
          <w:rFonts w:ascii="Century Gothic" w:hAnsi="Century Gothic"/>
          <w:b/>
          <w:bCs/>
          <w:sz w:val="24"/>
        </w:rPr>
        <w:t>Teoría</w:t>
      </w:r>
      <w:r w:rsidRPr="00BE67C4">
        <w:rPr>
          <w:rFonts w:ascii="Century Gothic" w:hAnsi="Century Gothic"/>
          <w:b/>
          <w:bCs/>
          <w:sz w:val="24"/>
        </w:rPr>
        <w:t xml:space="preserve"> del desarrollo moral”</w:t>
      </w:r>
    </w:p>
    <w:p w14:paraId="7234801B" w14:textId="4A5FE65C" w:rsidR="00B14442" w:rsidRPr="00BE67C4" w:rsidRDefault="00BE67C4" w:rsidP="00BE67C4">
      <w:pPr>
        <w:jc w:val="center"/>
        <w:rPr>
          <w:rFonts w:ascii="Century Gothic" w:hAnsi="Century Gothic"/>
          <w:b/>
          <w:bCs/>
          <w:sz w:val="24"/>
          <w:u w:val="single"/>
        </w:rPr>
      </w:pPr>
      <w:r w:rsidRPr="00BE67C4">
        <w:rPr>
          <w:rFonts w:ascii="Century Gothic" w:hAnsi="Century Gothic"/>
          <w:b/>
          <w:bCs/>
          <w:sz w:val="24"/>
        </w:rPr>
        <w:t xml:space="preserve">          </w:t>
      </w:r>
      <w:r w:rsidRPr="00BE67C4">
        <w:rPr>
          <w:rFonts w:ascii="Century Gothic" w:hAnsi="Century Gothic"/>
          <w:b/>
          <w:bCs/>
          <w:sz w:val="24"/>
          <w:u w:val="single"/>
        </w:rPr>
        <w:t>Erik Erikson</w:t>
      </w:r>
      <w:r w:rsidRPr="00BE67C4">
        <w:rPr>
          <w:rFonts w:ascii="Century Gothic" w:hAnsi="Century Gothic"/>
          <w:b/>
          <w:bCs/>
          <w:sz w:val="24"/>
        </w:rPr>
        <w:t xml:space="preserve">                              </w:t>
      </w:r>
      <w:r w:rsidRPr="00BE67C4">
        <w:rPr>
          <w:rFonts w:ascii="Century Gothic" w:hAnsi="Century Gothic"/>
          <w:b/>
          <w:bCs/>
          <w:sz w:val="24"/>
          <w:u w:val="single"/>
        </w:rPr>
        <w:t>Lawrence Kohlberg</w:t>
      </w:r>
    </w:p>
    <w:p w14:paraId="5C1543EB" w14:textId="04D0AADA" w:rsidR="00BE67C4" w:rsidRPr="00BE67C4" w:rsidRDefault="00BE67C4" w:rsidP="00BE67C4">
      <w:pPr>
        <w:jc w:val="center"/>
        <w:rPr>
          <w:rFonts w:ascii="Century Gothic" w:hAnsi="Century Gothic"/>
          <w:b/>
          <w:bCs/>
          <w:sz w:val="24"/>
        </w:rPr>
      </w:pPr>
      <w:r w:rsidRPr="00BE67C4">
        <w:rPr>
          <w:rFonts w:ascii="Century Gothic" w:hAnsi="Century Gothic"/>
          <w:b/>
          <w:bCs/>
          <w:sz w:val="24"/>
        </w:rPr>
        <w:t>Equipo 1:</w:t>
      </w:r>
    </w:p>
    <w:p w14:paraId="54371308" w14:textId="2217459E" w:rsidR="00BE67C4" w:rsidRPr="00BE67C4" w:rsidRDefault="00BE67C4" w:rsidP="00BE67C4">
      <w:pPr>
        <w:jc w:val="center"/>
        <w:rPr>
          <w:rFonts w:ascii="Century Gothic" w:hAnsi="Century Gothic"/>
          <w:bCs/>
          <w:sz w:val="24"/>
        </w:rPr>
      </w:pPr>
      <w:r w:rsidRPr="00BE67C4">
        <w:rPr>
          <w:rFonts w:ascii="Century Gothic" w:hAnsi="Century Gothic"/>
          <w:bCs/>
          <w:sz w:val="24"/>
        </w:rPr>
        <w:t>De la Cruz Sánchez Jazmín Azucena #5</w:t>
      </w:r>
    </w:p>
    <w:p w14:paraId="71D682CE" w14:textId="034BA8D0" w:rsidR="00BE67C4" w:rsidRPr="00BE67C4" w:rsidRDefault="00BE67C4" w:rsidP="00BE67C4">
      <w:pPr>
        <w:jc w:val="center"/>
        <w:rPr>
          <w:rFonts w:ascii="Century Gothic" w:hAnsi="Century Gothic"/>
          <w:bCs/>
          <w:sz w:val="24"/>
        </w:rPr>
      </w:pPr>
      <w:r w:rsidRPr="00BE67C4">
        <w:rPr>
          <w:rFonts w:ascii="Century Gothic" w:hAnsi="Century Gothic"/>
          <w:bCs/>
          <w:sz w:val="24"/>
        </w:rPr>
        <w:t>Esquivel Alonzo Andrea Judith #6</w:t>
      </w:r>
    </w:p>
    <w:p w14:paraId="0897F3C8" w14:textId="66775579" w:rsidR="00BE67C4" w:rsidRPr="00BE67C4" w:rsidRDefault="00BE67C4" w:rsidP="00BE67C4">
      <w:pPr>
        <w:jc w:val="center"/>
        <w:rPr>
          <w:rFonts w:ascii="Century Gothic" w:hAnsi="Century Gothic"/>
          <w:bCs/>
          <w:sz w:val="24"/>
        </w:rPr>
      </w:pPr>
      <w:r w:rsidRPr="00BE67C4">
        <w:rPr>
          <w:rFonts w:ascii="Century Gothic" w:hAnsi="Century Gothic"/>
          <w:bCs/>
          <w:sz w:val="24"/>
        </w:rPr>
        <w:t>García Reyna Mariana #8</w:t>
      </w:r>
    </w:p>
    <w:p w14:paraId="2903128D" w14:textId="0B16E052" w:rsidR="00BE67C4" w:rsidRPr="00BE67C4" w:rsidRDefault="00BE67C4" w:rsidP="00BE67C4">
      <w:pPr>
        <w:jc w:val="center"/>
        <w:rPr>
          <w:rFonts w:ascii="Century Gothic" w:hAnsi="Century Gothic"/>
          <w:bCs/>
          <w:sz w:val="24"/>
        </w:rPr>
      </w:pPr>
      <w:r w:rsidRPr="00BE67C4">
        <w:rPr>
          <w:rFonts w:ascii="Century Gothic" w:hAnsi="Century Gothic"/>
          <w:bCs/>
          <w:sz w:val="24"/>
        </w:rPr>
        <w:t>González Mata Verónica Esmeralda #9</w:t>
      </w:r>
    </w:p>
    <w:p w14:paraId="07A869B5" w14:textId="1F921E91" w:rsidR="00BE67C4" w:rsidRPr="00BE67C4" w:rsidRDefault="00BE67C4" w:rsidP="00BE67C4">
      <w:pPr>
        <w:jc w:val="center"/>
        <w:rPr>
          <w:rFonts w:ascii="Century Gothic" w:hAnsi="Century Gothic"/>
          <w:bCs/>
          <w:sz w:val="24"/>
        </w:rPr>
      </w:pPr>
      <w:r w:rsidRPr="00BE67C4">
        <w:rPr>
          <w:rFonts w:ascii="Century Gothic" w:hAnsi="Century Gothic"/>
          <w:bCs/>
          <w:sz w:val="24"/>
        </w:rPr>
        <w:t>González Morales Mariana #11</w:t>
      </w:r>
    </w:p>
    <w:p w14:paraId="43AB5773" w14:textId="7CC7DD3D" w:rsidR="00BE67C4" w:rsidRPr="00BE67C4" w:rsidRDefault="00BE67C4" w:rsidP="00BE67C4">
      <w:pPr>
        <w:jc w:val="center"/>
        <w:rPr>
          <w:rFonts w:ascii="Century Gothic" w:hAnsi="Century Gothic"/>
          <w:bCs/>
          <w:sz w:val="24"/>
        </w:rPr>
      </w:pPr>
      <w:r w:rsidRPr="00BE67C4">
        <w:rPr>
          <w:rFonts w:ascii="Century Gothic" w:hAnsi="Century Gothic"/>
          <w:bCs/>
          <w:sz w:val="24"/>
        </w:rPr>
        <w:t>Ortega Pérez Caro #19</w:t>
      </w:r>
    </w:p>
    <w:p w14:paraId="1A7F5CF5" w14:textId="2986CD24" w:rsidR="00BE67C4" w:rsidRPr="00BE67C4" w:rsidRDefault="00BE67C4" w:rsidP="00BE67C4">
      <w:pPr>
        <w:jc w:val="center"/>
        <w:rPr>
          <w:rFonts w:ascii="Century Gothic" w:hAnsi="Century Gothic"/>
          <w:b/>
          <w:bCs/>
          <w:sz w:val="24"/>
        </w:rPr>
      </w:pPr>
      <w:r w:rsidRPr="00BE67C4">
        <w:rPr>
          <w:rFonts w:ascii="Century Gothic" w:hAnsi="Century Gothic"/>
          <w:b/>
          <w:bCs/>
          <w:sz w:val="24"/>
        </w:rPr>
        <w:t>Cuarto Semestre</w:t>
      </w:r>
    </w:p>
    <w:p w14:paraId="3378B9B7" w14:textId="4F4B5728" w:rsidR="00BE67C4" w:rsidRDefault="00BE67C4" w:rsidP="00BE67C4">
      <w:pPr>
        <w:jc w:val="center"/>
        <w:rPr>
          <w:rFonts w:ascii="Century Gothic" w:hAnsi="Century Gothic"/>
          <w:b/>
          <w:bCs/>
          <w:sz w:val="24"/>
        </w:rPr>
      </w:pPr>
      <w:r w:rsidRPr="00BE67C4">
        <w:rPr>
          <w:rFonts w:ascii="Century Gothic" w:hAnsi="Century Gothic"/>
          <w:b/>
          <w:bCs/>
          <w:sz w:val="24"/>
        </w:rPr>
        <w:t>Sección “A”</w:t>
      </w:r>
    </w:p>
    <w:p w14:paraId="185B6BE1" w14:textId="0646621F" w:rsidR="00BE67C4" w:rsidRDefault="00BE67C4" w:rsidP="00BE67C4">
      <w:pPr>
        <w:jc w:val="center"/>
        <w:rPr>
          <w:rFonts w:ascii="Century Gothic" w:hAnsi="Century Gothic"/>
          <w:b/>
          <w:bCs/>
          <w:sz w:val="24"/>
        </w:rPr>
      </w:pPr>
    </w:p>
    <w:p w14:paraId="552EE865" w14:textId="12C8FF35" w:rsidR="00BE67C4" w:rsidRDefault="00BE67C4" w:rsidP="00BE67C4">
      <w:pPr>
        <w:jc w:val="center"/>
        <w:rPr>
          <w:rFonts w:ascii="Century Gothic" w:hAnsi="Century Gothic"/>
          <w:b/>
          <w:bCs/>
          <w:sz w:val="24"/>
        </w:rPr>
      </w:pPr>
    </w:p>
    <w:p w14:paraId="43F34050" w14:textId="65F70F68" w:rsidR="00BE67C4" w:rsidRDefault="00BE67C4" w:rsidP="00BE67C4">
      <w:pPr>
        <w:jc w:val="center"/>
        <w:rPr>
          <w:rFonts w:ascii="Century Gothic" w:hAnsi="Century Gothic"/>
          <w:b/>
          <w:bCs/>
          <w:sz w:val="24"/>
        </w:rPr>
      </w:pPr>
    </w:p>
    <w:p w14:paraId="487AD1D6" w14:textId="77777777" w:rsidR="00BE67C4" w:rsidRDefault="00BE67C4" w:rsidP="00BE67C4">
      <w:pPr>
        <w:jc w:val="center"/>
        <w:rPr>
          <w:rFonts w:ascii="Century Gothic" w:hAnsi="Century Gothic"/>
          <w:b/>
          <w:bCs/>
          <w:sz w:val="24"/>
        </w:rPr>
      </w:pPr>
    </w:p>
    <w:p w14:paraId="3AF4975C" w14:textId="545F654F" w:rsidR="00BE67C4" w:rsidRDefault="00BE67C4" w:rsidP="00BE67C4">
      <w:pPr>
        <w:jc w:val="center"/>
        <w:rPr>
          <w:rFonts w:ascii="Century Gothic" w:hAnsi="Century Gothic"/>
          <w:b/>
          <w:bCs/>
          <w:sz w:val="24"/>
        </w:rPr>
      </w:pPr>
    </w:p>
    <w:p w14:paraId="6ABE6D13" w14:textId="60B17456" w:rsidR="00BE67C4" w:rsidRPr="00BE67C4" w:rsidRDefault="00BE67C4" w:rsidP="00BE67C4">
      <w:pPr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Saltillo, Coahuila.                                                                Marzo 2021</w:t>
      </w:r>
    </w:p>
    <w:p w14:paraId="05620258" w14:textId="3F12709A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CE56541" w14:textId="69287939" w:rsidR="00666BF4" w:rsidRPr="00205CBA" w:rsidRDefault="00941CA7" w:rsidP="00205CBA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BE67C4">
        <w:rPr>
          <w:rFonts w:ascii="Century Gothic" w:hAnsi="Century Gothic"/>
          <w:b/>
          <w:i/>
        </w:rPr>
        <w:t xml:space="preserve">Escribe sobre la línea el nombre del teórico </w:t>
      </w:r>
      <w:r w:rsidR="005B0038" w:rsidRPr="00BE67C4">
        <w:rPr>
          <w:rFonts w:ascii="Century Gothic" w:hAnsi="Century Gothic"/>
          <w:b/>
          <w:i/>
        </w:rPr>
        <w:t xml:space="preserve">o de la teoría </w:t>
      </w:r>
      <w:r w:rsidRPr="00BE67C4">
        <w:rPr>
          <w:rFonts w:ascii="Century Gothic" w:hAnsi="Century Gothic"/>
          <w:b/>
          <w:i/>
        </w:rPr>
        <w:t>a que se refiere cada idea, eligiéndolas de la lista del recuadro</w:t>
      </w:r>
      <w:r w:rsidRPr="005D6C8B">
        <w:rPr>
          <w:rFonts w:ascii="Century Gothic" w:hAnsi="Century Gothic"/>
        </w:rPr>
        <w:t>.</w:t>
      </w:r>
    </w:p>
    <w:p w14:paraId="3562EADE" w14:textId="181A065A" w:rsidR="00941CA7" w:rsidRDefault="00941CA7" w:rsidP="66052933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  <w:i/>
          <w:iCs/>
        </w:rPr>
      </w:pPr>
      <w:r w:rsidRPr="66052933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2729546C" w:rsidRPr="66052933">
        <w:rPr>
          <w:rFonts w:ascii="Century Gothic" w:hAnsi="Century Gothic"/>
        </w:rPr>
        <w:t>.</w:t>
      </w:r>
      <w:r w:rsidR="5D74C3A1" w:rsidRPr="66052933">
        <w:rPr>
          <w:rFonts w:ascii="Century Gothic" w:hAnsi="Century Gothic"/>
        </w:rPr>
        <w:t xml:space="preserve"> </w:t>
      </w:r>
      <w:r w:rsidR="005D6C8B" w:rsidRPr="66052933">
        <w:rPr>
          <w:rFonts w:ascii="Century Gothic" w:hAnsi="Century Gothic"/>
        </w:rPr>
        <w:t xml:space="preserve"> </w:t>
      </w:r>
      <w:r w:rsidR="071D8A48" w:rsidRPr="66052933">
        <w:rPr>
          <w:rFonts w:ascii="Century Gothic" w:hAnsi="Century Gothic"/>
          <w:b/>
          <w:bCs/>
          <w:u w:val="single"/>
        </w:rPr>
        <w:t>T</w:t>
      </w:r>
      <w:r w:rsidR="47BFEC59" w:rsidRPr="66052933">
        <w:rPr>
          <w:rFonts w:ascii="Century Gothic" w:hAnsi="Century Gothic"/>
          <w:b/>
          <w:bCs/>
          <w:u w:val="single"/>
        </w:rPr>
        <w:t>eoría del desarrollo psicosocial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7D96032" w14:textId="5B61CC31" w:rsidR="005D6C8B" w:rsidRDefault="005D6C8B" w:rsidP="6605293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>La Teoría del Desarrollo Psicosocial nace a partir de la reinterpretación de las fases psicosexuales desarrolladas por</w:t>
      </w:r>
      <w:r w:rsidRPr="66052933">
        <w:rPr>
          <w:rFonts w:ascii="Century Gothic" w:hAnsi="Century Gothic"/>
          <w:b/>
          <w:bCs/>
        </w:rPr>
        <w:t xml:space="preserve"> </w:t>
      </w:r>
      <w:r w:rsidR="0CB5FE77" w:rsidRPr="66052933">
        <w:rPr>
          <w:rFonts w:ascii="Century Gothic" w:hAnsi="Century Gothic"/>
          <w:b/>
          <w:bCs/>
          <w:u w:val="single"/>
        </w:rPr>
        <w:t>Sigmund Freud</w:t>
      </w:r>
    </w:p>
    <w:p w14:paraId="44622E84" w14:textId="6AC4ED03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="791FF01F" w:rsidRPr="66052933">
        <w:rPr>
          <w:rFonts w:ascii="Century Gothic" w:hAnsi="Century Gothic"/>
          <w:b/>
          <w:bCs/>
          <w:u w:val="single"/>
        </w:rPr>
        <w:t>Jean Piaget</w:t>
      </w:r>
      <w:r>
        <w:rPr>
          <w:rFonts w:ascii="Century Gothic" w:hAnsi="Century Gothic"/>
        </w:rPr>
        <w:softHyphen/>
      </w:r>
      <w:r w:rsidRPr="66052933">
        <w:rPr>
          <w:rFonts w:ascii="Century Gothic" w:hAnsi="Century Gothic"/>
          <w:b/>
          <w:bCs/>
        </w:rPr>
        <w:t xml:space="preserve"> </w:t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622C2605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 xml:space="preserve">En la teoría del desarrollo moral de </w:t>
      </w:r>
      <w:r w:rsidR="4AD102DE" w:rsidRPr="66052933">
        <w:rPr>
          <w:rFonts w:ascii="Century Gothic" w:hAnsi="Century Gothic"/>
          <w:b/>
          <w:bCs/>
          <w:u w:val="single"/>
        </w:rPr>
        <w:t>Lawrence Kohlberg</w:t>
      </w:r>
      <w:r w:rsidRPr="66052933">
        <w:rPr>
          <w:rFonts w:ascii="Century Gothic" w:hAnsi="Century Gothic"/>
        </w:rPr>
        <w:t xml:space="preserve"> se alcanza la conclusión de que el desarrollo moral pasaba por tres niveles: preconvencional, convencional y post 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1F60EA8F" w:rsidR="00666BF4" w:rsidRDefault="00025E3C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66052933">
        <w:rPr>
          <w:rFonts w:ascii="Century Gothic" w:hAnsi="Century Gothic"/>
        </w:rPr>
        <w:t>Teoría en l</w:t>
      </w:r>
      <w:r w:rsidR="00666BF4" w:rsidRPr="66052933">
        <w:rPr>
          <w:rFonts w:ascii="Century Gothic" w:hAnsi="Century Gothic"/>
        </w:rPr>
        <w:t xml:space="preserve">as cuatro primeras etapas de desarrollo </w:t>
      </w:r>
      <w:r w:rsidRPr="66052933">
        <w:rPr>
          <w:rFonts w:ascii="Century Gothic" w:hAnsi="Century Gothic"/>
        </w:rPr>
        <w:t>están centradas en la niñez</w:t>
      </w:r>
      <w:r w:rsidR="00666BF4" w:rsidRPr="66052933">
        <w:rPr>
          <w:rFonts w:ascii="Century Gothic" w:hAnsi="Century Gothic"/>
        </w:rPr>
        <w:t xml:space="preserve"> mientras que las cuatro últimas abordan d</w:t>
      </w:r>
      <w:r w:rsidRPr="66052933">
        <w:rPr>
          <w:rFonts w:ascii="Century Gothic" w:hAnsi="Century Gothic"/>
        </w:rPr>
        <w:t>esde la adolescencia a la vejez</w:t>
      </w:r>
      <w:r w:rsidR="20A2DC95" w:rsidRPr="66052933">
        <w:rPr>
          <w:rFonts w:ascii="Century Gothic" w:hAnsi="Century Gothic"/>
        </w:rPr>
        <w:t xml:space="preserve"> </w:t>
      </w:r>
      <w:r w:rsidR="20A2DC95" w:rsidRPr="66052933">
        <w:rPr>
          <w:rFonts w:ascii="Century Gothic" w:hAnsi="Century Gothic"/>
          <w:b/>
          <w:bCs/>
          <w:u w:val="single"/>
        </w:rPr>
        <w:t>Teoría del desarrollo psicosocial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54BB9FD8" w14:textId="559DB656" w:rsidR="00666BF4" w:rsidRPr="00666BF4" w:rsidRDefault="00666BF4" w:rsidP="6605293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66052933">
        <w:rPr>
          <w:rFonts w:ascii="Century Gothic" w:hAnsi="Century Gothic"/>
        </w:rPr>
        <w:t>Psicoanalista estadounidense de origen alemán que propone las ocho edades del hombre que marca las bases de la psicología evolutiva</w:t>
      </w:r>
      <w:r>
        <w:br/>
      </w:r>
      <w:r w:rsidRPr="66052933">
        <w:rPr>
          <w:rFonts w:ascii="Century Gothic" w:hAnsi="Century Gothic"/>
        </w:rPr>
        <w:t xml:space="preserve"> </w:t>
      </w:r>
      <w:r w:rsidR="424364C8" w:rsidRPr="66052933">
        <w:rPr>
          <w:rFonts w:ascii="Century Gothic" w:hAnsi="Century Gothic"/>
          <w:b/>
          <w:bCs/>
          <w:u w:val="single"/>
        </w:rPr>
        <w:t>Erick Erikson</w:t>
      </w:r>
    </w:p>
    <w:p w14:paraId="2F3BC035" w14:textId="5F9582CC" w:rsidR="66052933" w:rsidRDefault="66052933" w:rsidP="66052933">
      <w:pPr>
        <w:jc w:val="both"/>
        <w:rPr>
          <w:rFonts w:ascii="Century Gothic" w:hAnsi="Century Gothic"/>
        </w:rPr>
      </w:pPr>
    </w:p>
    <w:p w14:paraId="035657D3" w14:textId="5A4392C2" w:rsidR="00666BF4" w:rsidRPr="00666BF4" w:rsidRDefault="00666BF4" w:rsidP="6605293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66052933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1DECA6F8" w:rsidRPr="66052933">
        <w:rPr>
          <w:rFonts w:ascii="Century Gothic" w:hAnsi="Century Gothic"/>
          <w:b/>
          <w:bCs/>
          <w:u w:val="single"/>
        </w:rPr>
        <w:t>Teoría del desarrollo moral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Default="005B0038" w:rsidP="005B0038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cex="http://schemas.microsoft.com/office/word/2018/wordml/cex" xmlns:w16="http://schemas.microsoft.com/office/word/2018/wordml">
            <w:pict>
              <v:shapetype id="_x0000_t202" coordsize="21600,21600" o:spt="202" path="m,l,21600r21600,l21600,xe" w14:anchorId="486425F8">
                <v:stroke joinstyle="miter"/>
                <v:path gradientshapeok="t" o:connecttype="rect"/>
              </v:shapetype>
              <v:shape id="Cuadro de texto 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:rsidR="005B0038" w:rsidP="005B0038" w:rsidRDefault="005B0038" w14:paraId="5B86F804" w14:textId="73ECCA66">
                      <w:r>
                        <w:t>Teoría del Desarrollo Psicosocial                                          Teoría del desarrollo moral</w:t>
                      </w:r>
                    </w:p>
                    <w:p w:rsidR="005B0038" w:rsidP="005B0038" w:rsidRDefault="005B0038" w14:paraId="5E1D91B4" w14:textId="77777777"/>
                    <w:p w:rsidR="005B0038" w:rsidP="005B0038" w:rsidRDefault="005B0038" w14:paraId="2053765F" w14:textId="63E5A331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292C67EF" w:rsidR="005D6C8B" w:rsidRPr="00205CBA" w:rsidRDefault="005D6C8B" w:rsidP="005B0038">
      <w:pPr>
        <w:pStyle w:val="Prrafodelista"/>
        <w:numPr>
          <w:ilvl w:val="0"/>
          <w:numId w:val="3"/>
        </w:numPr>
        <w:rPr>
          <w:rFonts w:ascii="Century Gothic" w:hAnsi="Century Gothic"/>
          <w:b/>
          <w:i/>
          <w:sz w:val="20"/>
        </w:rPr>
      </w:pPr>
      <w:r w:rsidRPr="00205CBA">
        <w:rPr>
          <w:rFonts w:ascii="Century Gothic" w:hAnsi="Century Gothic"/>
          <w:b/>
          <w:i/>
          <w:sz w:val="20"/>
        </w:rPr>
        <w:lastRenderedPageBreak/>
        <w:t xml:space="preserve">Describe las etapas de la teoría de </w:t>
      </w:r>
      <w:r w:rsidR="09E06A31" w:rsidRPr="00205CBA">
        <w:rPr>
          <w:rFonts w:ascii="Century Gothic" w:hAnsi="Century Gothic"/>
          <w:b/>
          <w:i/>
          <w:sz w:val="20"/>
        </w:rPr>
        <w:t>Erik</w:t>
      </w:r>
      <w:r w:rsidRPr="00205CBA">
        <w:rPr>
          <w:rFonts w:ascii="Century Gothic" w:hAnsi="Century Gothic"/>
          <w:b/>
          <w:i/>
          <w:sz w:val="20"/>
        </w:rPr>
        <w:t xml:space="preserve"> Erikson que corresponden de los 0 a los 5 años</w:t>
      </w:r>
    </w:p>
    <w:p w14:paraId="41BCA4DD" w14:textId="12E3D3BF" w:rsidR="005B0038" w:rsidRDefault="45DE5C17" w:rsidP="66052933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1.- Confianza básica vs. Desconfianza:</w:t>
      </w:r>
      <w:r w:rsidRPr="66052933">
        <w:rPr>
          <w:rFonts w:eastAsiaTheme="minorEastAsia"/>
        </w:rPr>
        <w:t xml:space="preserve"> Este estadio transcurre </w:t>
      </w:r>
      <w:r w:rsidRPr="66052933">
        <w:rPr>
          <w:rFonts w:eastAsiaTheme="minorEastAsia"/>
          <w:b/>
          <w:bCs/>
        </w:rPr>
        <w:t>desde el nacimiento hasta los dieciocho meses de vida</w:t>
      </w:r>
      <w:r w:rsidRPr="66052933">
        <w:rPr>
          <w:rFonts w:eastAsiaTheme="minorEastAsia"/>
        </w:rPr>
        <w:t>, y depende de la relación o vínculo que se haya creado con la madre. La relación con la madre determinará los futuros vínculos que se establecerán con las personas a lo largo de su vida.</w:t>
      </w:r>
    </w:p>
    <w:p w14:paraId="76FB0745" w14:textId="14E857E1" w:rsidR="005B0038" w:rsidRDefault="45DE5C17" w:rsidP="66052933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2.- Autonomía vs Vergüenza y Duda:</w:t>
      </w:r>
      <w:r w:rsidRPr="66052933">
        <w:rPr>
          <w:rFonts w:eastAsiaTheme="minorEastAsia"/>
        </w:rPr>
        <w:t xml:space="preserve"> Este estadio empieza </w:t>
      </w:r>
      <w:r w:rsidRPr="66052933">
        <w:rPr>
          <w:rFonts w:eastAsiaTheme="minorEastAsia"/>
          <w:b/>
          <w:bCs/>
        </w:rPr>
        <w:t xml:space="preserve">desde los 18 meses hasta los 3 años </w:t>
      </w:r>
      <w:r w:rsidRPr="66052933">
        <w:rPr>
          <w:rFonts w:eastAsiaTheme="minorEastAsia"/>
        </w:rPr>
        <w:t xml:space="preserve">de vida del niño. Durante este estadio el niño emprende su desarrollo cognitivo y muscular, cuando comienza a controlar y ejercitar los músculos que se relacionan con las excreciones corporales. </w:t>
      </w:r>
    </w:p>
    <w:p w14:paraId="4B49DE3D" w14:textId="32B13897" w:rsidR="005B0038" w:rsidRDefault="45DE5C17" w:rsidP="66052933">
      <w:pPr>
        <w:spacing w:line="276" w:lineRule="exact"/>
        <w:jc w:val="both"/>
        <w:rPr>
          <w:rFonts w:eastAsiaTheme="minorEastAsia"/>
        </w:rPr>
      </w:pPr>
      <w:r w:rsidRPr="66052933">
        <w:rPr>
          <w:rFonts w:eastAsiaTheme="minorEastAsia"/>
          <w:highlight w:val="cyan"/>
        </w:rPr>
        <w:t>3.- Iniciativa vs Culpa:</w:t>
      </w:r>
      <w:r w:rsidRPr="66052933">
        <w:rPr>
          <w:rFonts w:eastAsiaTheme="minorEastAsia"/>
        </w:rPr>
        <w:t xml:space="preserve"> Este estadio viaja </w:t>
      </w:r>
      <w:r w:rsidRPr="66052933">
        <w:rPr>
          <w:rFonts w:eastAsiaTheme="minorEastAsia"/>
          <w:b/>
          <w:bCs/>
        </w:rPr>
        <w:t>desde los 3 hasta los 5 años</w:t>
      </w:r>
      <w:r w:rsidRPr="66052933">
        <w:rPr>
          <w:rFonts w:eastAsiaTheme="minorEastAsia"/>
        </w:rPr>
        <w:t>. El niño empieza a desarrollarse muy rápido, tanto física como intelectualmente. Crece su interés por relacionarse con otros niños, poniendo a prueba sus habilidades y capacidades. Los niños sienten curiosidad y es positivo motivarles para desarrollarse creativamente.</w:t>
      </w:r>
    </w:p>
    <w:p w14:paraId="7E417E8E" w14:textId="175C9638" w:rsidR="005B0038" w:rsidRPr="00205CBA" w:rsidRDefault="005B0038" w:rsidP="005B0038">
      <w:pPr>
        <w:pStyle w:val="Prrafodelista"/>
        <w:numPr>
          <w:ilvl w:val="0"/>
          <w:numId w:val="3"/>
        </w:numPr>
        <w:rPr>
          <w:rFonts w:ascii="Century Gothic" w:hAnsi="Century Gothic"/>
          <w:b/>
          <w:i/>
          <w:sz w:val="20"/>
        </w:rPr>
      </w:pPr>
      <w:r w:rsidRPr="00205CBA">
        <w:rPr>
          <w:rFonts w:ascii="Century Gothic" w:hAnsi="Century Gothic"/>
          <w:b/>
          <w:i/>
          <w:sz w:val="20"/>
        </w:rPr>
        <w:t>¿Qué tipo de actividades propones, en general, para aplicar en preescolar para desarrollar las etapas correspondientes a la teoría del desarrollo moral de Lawrence Kohlberg?</w:t>
      </w:r>
    </w:p>
    <w:p w14:paraId="7D1A3085" w14:textId="0F94DD0A" w:rsidR="3E10A618" w:rsidRDefault="3E10A618" w:rsidP="66052933">
      <w:pPr>
        <w:jc w:val="center"/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 xml:space="preserve">Propuesta de actividad para cada etapa de desarrollo: </w:t>
      </w:r>
    </w:p>
    <w:p w14:paraId="5DF17A2D" w14:textId="30DC8502" w:rsidR="3E10A618" w:rsidRDefault="3E10A618" w:rsidP="66052933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PRE-CONVENCIONAL</w:t>
      </w:r>
    </w:p>
    <w:p w14:paraId="2E0E244A" w14:textId="3863740D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Primera etapa “ORIENTACIÓN A LA OBEDENCIA Y EL CASTIGO”</w:t>
      </w:r>
    </w:p>
    <w:p w14:paraId="2791A1FB" w14:textId="7AABB672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Policías y ladrones</w:t>
      </w:r>
    </w:p>
    <w:p w14:paraId="62817E03" w14:textId="4345E75A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Segunda etapa: “ORIENTACIÓN AL INTERÉS PROPIO”</w:t>
      </w:r>
    </w:p>
    <w:p w14:paraId="0ADE9A35" w14:textId="5BA0882E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Un debate.</w:t>
      </w:r>
    </w:p>
    <w:p w14:paraId="3361144C" w14:textId="2A3B5432" w:rsidR="3E10A618" w:rsidRDefault="3E10A618" w:rsidP="66052933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CONVENCIONAL</w:t>
      </w:r>
    </w:p>
    <w:p w14:paraId="73ACBE88" w14:textId="39C72B16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Tercera etapa: “ORIENTACIÓN HACIA EL CONSENSO”</w:t>
      </w:r>
    </w:p>
    <w:p w14:paraId="7C77B478" w14:textId="763C582B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Enanos y gigantes.</w:t>
      </w:r>
    </w:p>
    <w:p w14:paraId="4DB76458" w14:textId="45BC8294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Cuarta etapa: “ORIENTACIÓN A LA AUTORIDAD”</w:t>
      </w:r>
    </w:p>
    <w:p w14:paraId="30923BF3" w14:textId="28B8F086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Simón dice</w:t>
      </w:r>
    </w:p>
    <w:p w14:paraId="496CA2A3" w14:textId="55B8AEE0" w:rsidR="3E10A618" w:rsidRDefault="3E10A618" w:rsidP="66052933">
      <w:pPr>
        <w:rPr>
          <w:rFonts w:eastAsiaTheme="minorEastAsia"/>
          <w:b/>
          <w:bCs/>
        </w:rPr>
      </w:pPr>
      <w:r w:rsidRPr="66052933">
        <w:rPr>
          <w:rFonts w:eastAsiaTheme="minorEastAsia"/>
          <w:b/>
          <w:bCs/>
        </w:rPr>
        <w:t>FASE POST-CONVENCIONAL</w:t>
      </w:r>
    </w:p>
    <w:p w14:paraId="48C1EF33" w14:textId="3BC4A637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Quinta etapa: “ORIENTACIÓN HACIA EL CONTRATO SOCIAL”</w:t>
      </w:r>
    </w:p>
    <w:p w14:paraId="3A5F185E" w14:textId="5FF49927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Semáforo de reglas</w:t>
      </w:r>
    </w:p>
    <w:p w14:paraId="5415CF4D" w14:textId="0CA2A1E0" w:rsidR="3E10A618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Se realizará un semáforo y se pondrán dependiendo las reglas, ya sea verde para las “aceptables” amarillo para “m</w:t>
      </w:r>
      <w:r w:rsidR="70F6B348" w:rsidRPr="66052933">
        <w:rPr>
          <w:rFonts w:ascii="Helvetica Neue" w:eastAsia="Helvetica Neue" w:hAnsi="Helvetica Neue" w:cs="Helvetica Neue"/>
        </w:rPr>
        <w:t>á</w:t>
      </w:r>
      <w:r w:rsidRPr="66052933">
        <w:rPr>
          <w:rFonts w:eastAsiaTheme="minorEastAsia"/>
        </w:rPr>
        <w:t>s o menos” y el rojo para “no aceptables”.</w:t>
      </w:r>
    </w:p>
    <w:p w14:paraId="1443CBB1" w14:textId="1E9FAD35" w:rsidR="3E10A618" w:rsidRDefault="3E10A618" w:rsidP="66052933">
      <w:pPr>
        <w:rPr>
          <w:rFonts w:eastAsiaTheme="minorEastAsia"/>
          <w:b/>
          <w:bCs/>
          <w:u w:val="single"/>
        </w:rPr>
      </w:pPr>
      <w:r w:rsidRPr="66052933">
        <w:rPr>
          <w:rFonts w:eastAsiaTheme="minorEastAsia"/>
          <w:b/>
          <w:bCs/>
          <w:u w:val="single"/>
        </w:rPr>
        <w:t>Sexta etapa: “ORIENTACIÓN HACIA LOS PRINCIPIOS UNIVERSALES”</w:t>
      </w:r>
    </w:p>
    <w:p w14:paraId="1B9CEC40" w14:textId="50BF6B14" w:rsidR="66052933" w:rsidRPr="00205CBA" w:rsidRDefault="3E10A618" w:rsidP="66052933">
      <w:pPr>
        <w:rPr>
          <w:rFonts w:eastAsiaTheme="minorEastAsia"/>
        </w:rPr>
      </w:pPr>
      <w:r w:rsidRPr="66052933">
        <w:rPr>
          <w:rFonts w:eastAsiaTheme="minorEastAsia"/>
        </w:rPr>
        <w:t>Actividad: Realizar un reglamento de salón.</w:t>
      </w:r>
      <w:bookmarkStart w:id="0" w:name="_GoBack"/>
      <w:bookmarkEnd w:id="0"/>
    </w:p>
    <w:sectPr w:rsidR="66052933" w:rsidRPr="00205C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A7"/>
    <w:rsid w:val="00025E3C"/>
    <w:rsid w:val="00205CBA"/>
    <w:rsid w:val="004D6207"/>
    <w:rsid w:val="00514ADD"/>
    <w:rsid w:val="005B0038"/>
    <w:rsid w:val="005D6C8B"/>
    <w:rsid w:val="00666BF4"/>
    <w:rsid w:val="00941CA7"/>
    <w:rsid w:val="00B14442"/>
    <w:rsid w:val="00BE67C4"/>
    <w:rsid w:val="00F937F5"/>
    <w:rsid w:val="05DEAA43"/>
    <w:rsid w:val="071D8A48"/>
    <w:rsid w:val="09E06A31"/>
    <w:rsid w:val="0C26AFC1"/>
    <w:rsid w:val="0CB5FE77"/>
    <w:rsid w:val="1B37D5C1"/>
    <w:rsid w:val="1DECA6F8"/>
    <w:rsid w:val="20A2DC95"/>
    <w:rsid w:val="2386AFA5"/>
    <w:rsid w:val="249F724D"/>
    <w:rsid w:val="2729546C"/>
    <w:rsid w:val="29F5F129"/>
    <w:rsid w:val="3E10A618"/>
    <w:rsid w:val="4081E592"/>
    <w:rsid w:val="424364C8"/>
    <w:rsid w:val="45DE5C17"/>
    <w:rsid w:val="46BF5A37"/>
    <w:rsid w:val="47BFEC59"/>
    <w:rsid w:val="4AD102DE"/>
    <w:rsid w:val="56B0E382"/>
    <w:rsid w:val="5D74C3A1"/>
    <w:rsid w:val="656DB334"/>
    <w:rsid w:val="66052933"/>
    <w:rsid w:val="668836EC"/>
    <w:rsid w:val="6880F7A9"/>
    <w:rsid w:val="70F6B348"/>
    <w:rsid w:val="7662803D"/>
    <w:rsid w:val="791FF01F"/>
    <w:rsid w:val="792DE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AD525-2A55-478A-958F-38544F8A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5b323-ce8a-4f58-a6db-55daeeed2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F265B-614F-434C-BBA5-759A69E3E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F4AD7-2409-4108-BFD4-71F19879F6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ANDREA JUDITH ESQUIVEL ALONZO</cp:lastModifiedBy>
  <cp:revision>7</cp:revision>
  <dcterms:created xsi:type="dcterms:W3CDTF">2021-03-17T19:38:00Z</dcterms:created>
  <dcterms:modified xsi:type="dcterms:W3CDTF">2021-03-18T21:06:00Z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