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eko" w:cs="Teko" w:eastAsia="Teko" w:hAnsi="Teko"/>
          <w:color w:val="000000"/>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-431799</wp:posOffset>
            </wp:positionH>
            <wp:positionV relativeFrom="paragraph">
              <wp:posOffset>-259079</wp:posOffset>
            </wp:positionV>
            <wp:extent cx="1409700" cy="1219200"/>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409700" cy="1219200"/>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704215</wp:posOffset>
                </wp:positionH>
                <wp:positionV relativeFrom="paragraph">
                  <wp:posOffset>171450</wp:posOffset>
                </wp:positionV>
                <wp:extent cx="1828800" cy="1828800"/>
                <wp:effectExtent b="1270" l="0" r="0" t="0"/>
                <wp:wrapNone/>
                <wp:docPr id="1" name=""/>
                <a:graphic>
                  <a:graphicData uri="http://schemas.microsoft.com/office/word/2010/wordprocessingShape">
                    <wps:wsp>
                      <wps:cNvSpPr txBox="1"/>
                      <wps:spPr>
                        <a:xfrm>
                          <a:off x="0" y="0"/>
                          <a:ext cx="1828800" cy="1828800"/>
                        </a:xfrm>
                        <a:prstGeom prst="rect">
                          <a:avLst/>
                        </a:prstGeom>
                        <a:noFill/>
                        <a:ln w="6350">
                          <a:noFill/>
                        </a:ln>
                      </wps:spPr>
                      <wps:txbx>
                        <w:txbxContent>
                          <w:p w:rsidR="00500E4A" w:rsidDel="00000000" w:rsidP="00500E4A" w:rsidRDefault="00500E4A" w:rsidRPr="00470904">
                            <w:pPr>
                              <w:spacing w:after="0" w:line="240" w:lineRule="auto"/>
                              <w:jc w:val="center"/>
                              <w:rPr>
                                <w:rFonts w:ascii="Verdana" w:cs="Times New Roman" w:eastAsia="Times New Roman" w:hAnsi="Verdana"/>
                                <w:noProof w:val="1"/>
                                <w:color w:val="000000"/>
                                <w:sz w:val="24"/>
                                <w:szCs w:val="24"/>
                              </w:rPr>
                            </w:pPr>
                            <w:r w:rsidDel="00000000" w:rsidR="00000000" w:rsidRPr="00B0222C">
                              <w:rPr>
                                <w:rFonts w:ascii="Agency FB" w:cs="Times New Roman" w:eastAsia="Times New Roman" w:hAnsi="Agency FB"/>
                                <w:color w:val="000000"/>
                                <w:sz w:val="40"/>
                                <w:szCs w:val="24"/>
                                <w:lang w:eastAsia="es-MX"/>
                              </w:rPr>
                              <w:t>Escuela Normal de Educación Preescolar del Estado de Coahuila</w:t>
                            </w:r>
                          </w:p>
                        </w:txbxContent>
                      </wps:txbx>
                      <wps:bodyPr anchorCtr="0" anchor="t" bIns="45720" rtlCol="0" compatLnSpc="1" forceAA="0" fromWordArt="0" horzOverflow="overflow" lIns="91440" numCol="1" spcFirstLastPara="0" rIns="91440" rot="0" spcCol="0" vert="horz" wrap="none" tIns="45720" vertOverflow="overflow">
                        <a:prstTxWarp prst="textNoShape">
                          <a:avLst/>
                        </a:prstTxWarp>
                        <a:sp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704215</wp:posOffset>
                </wp:positionH>
                <wp:positionV relativeFrom="paragraph">
                  <wp:posOffset>171450</wp:posOffset>
                </wp:positionV>
                <wp:extent cx="1828800" cy="183007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28800" cy="1830070"/>
                        </a:xfrm>
                        <a:prstGeom prst="rect"/>
                        <a:ln/>
                      </pic:spPr>
                    </pic:pic>
                  </a:graphicData>
                </a:graphic>
              </wp:anchor>
            </w:drawing>
          </mc:Fallback>
        </mc:AlternateContent>
      </w:r>
    </w:p>
    <w:p w:rsidR="00000000" w:rsidDel="00000000" w:rsidP="00000000" w:rsidRDefault="00000000" w:rsidRPr="00000000" w14:paraId="00000002">
      <w:pPr>
        <w:spacing w:after="0" w:line="240" w:lineRule="auto"/>
        <w:jc w:val="center"/>
        <w:rPr>
          <w:rFonts w:ascii="Teko" w:cs="Teko" w:eastAsia="Teko" w:hAnsi="Teko"/>
          <w:color w:val="000000"/>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eko" w:cs="Teko" w:eastAsia="Teko" w:hAnsi="Teko"/>
          <w:color w:val="000000"/>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Teko" w:cs="Teko" w:eastAsia="Teko" w:hAnsi="Teko"/>
          <w:color w:val="000000"/>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06">
      <w:pPr>
        <w:spacing w:after="0" w:line="240" w:lineRule="auto"/>
        <w:jc w:val="center"/>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Licenciatura en educación preescolar</w:t>
      </w:r>
    </w:p>
    <w:p w:rsidR="00000000" w:rsidDel="00000000" w:rsidP="00000000" w:rsidRDefault="00000000" w:rsidRPr="00000000" w14:paraId="00000007">
      <w:pPr>
        <w:spacing w:after="0" w:line="240" w:lineRule="auto"/>
        <w:jc w:val="center"/>
        <w:rPr>
          <w:rFonts w:ascii="Arial" w:cs="Arial" w:eastAsia="Arial" w:hAnsi="Arial"/>
          <w:color w:val="000000"/>
          <w:sz w:val="32"/>
          <w:szCs w:val="32"/>
        </w:rPr>
      </w:pPr>
      <w:r w:rsidDel="00000000" w:rsidR="00000000" w:rsidRPr="00000000">
        <w:rPr>
          <w:rtl w:val="0"/>
        </w:rPr>
      </w:r>
    </w:p>
    <w:p w:rsidR="00000000" w:rsidDel="00000000" w:rsidP="00000000" w:rsidRDefault="00000000" w:rsidRPr="00000000" w14:paraId="00000008">
      <w:pPr>
        <w:spacing w:after="0" w:line="240" w:lineRule="auto"/>
        <w:jc w:val="center"/>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Ciclo escolar 2020-2021</w:t>
      </w:r>
    </w:p>
    <w:p w:rsidR="00000000" w:rsidDel="00000000" w:rsidP="00000000" w:rsidRDefault="00000000" w:rsidRPr="00000000" w14:paraId="00000009">
      <w:pPr>
        <w:spacing w:after="0" w:line="240" w:lineRule="auto"/>
        <w:jc w:val="center"/>
        <w:rPr>
          <w:rFonts w:ascii="Arial" w:cs="Arial" w:eastAsia="Arial" w:hAnsi="Arial"/>
          <w:color w:val="000000"/>
          <w:sz w:val="32"/>
          <w:szCs w:val="32"/>
        </w:rPr>
      </w:pPr>
      <w:r w:rsidDel="00000000" w:rsidR="00000000" w:rsidRPr="00000000">
        <w:rPr>
          <w:rtl w:val="0"/>
        </w:rPr>
      </w:r>
    </w:p>
    <w:p w:rsidR="00000000" w:rsidDel="00000000" w:rsidP="00000000" w:rsidRDefault="00000000" w:rsidRPr="00000000" w14:paraId="0000000A">
      <w:pPr>
        <w:spacing w:after="0" w:line="240" w:lineRule="auto"/>
        <w:jc w:val="center"/>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Prácticas Sociales del Lenguaje</w:t>
      </w:r>
    </w:p>
    <w:p w:rsidR="00000000" w:rsidDel="00000000" w:rsidP="00000000" w:rsidRDefault="00000000" w:rsidRPr="00000000" w14:paraId="0000000B">
      <w:pPr>
        <w:spacing w:after="0" w:line="240" w:lineRule="auto"/>
        <w:jc w:val="center"/>
        <w:rPr>
          <w:rFonts w:ascii="Arial" w:cs="Arial" w:eastAsia="Arial" w:hAnsi="Arial"/>
          <w:color w:val="000000"/>
          <w:sz w:val="32"/>
          <w:szCs w:val="32"/>
        </w:rPr>
      </w:pPr>
      <w:r w:rsidDel="00000000" w:rsidR="00000000" w:rsidRPr="00000000">
        <w:rPr>
          <w:rtl w:val="0"/>
        </w:rPr>
      </w:r>
    </w:p>
    <w:p w:rsidR="00000000" w:rsidDel="00000000" w:rsidP="00000000" w:rsidRDefault="00000000" w:rsidRPr="00000000" w14:paraId="0000000C">
      <w:pPr>
        <w:spacing w:after="0" w:line="240" w:lineRule="auto"/>
        <w:jc w:val="center"/>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-ANÁLISIS DE TEXTO-</w:t>
      </w:r>
    </w:p>
    <w:p w:rsidR="00000000" w:rsidDel="00000000" w:rsidP="00000000" w:rsidRDefault="00000000" w:rsidRPr="00000000" w14:paraId="0000000D">
      <w:pPr>
        <w:spacing w:after="0" w:line="240" w:lineRule="auto"/>
        <w:jc w:val="center"/>
        <w:rPr>
          <w:rFonts w:ascii="Arial" w:cs="Arial" w:eastAsia="Arial" w:hAnsi="Arial"/>
          <w:color w:val="000000"/>
          <w:sz w:val="32"/>
          <w:szCs w:val="32"/>
        </w:rPr>
      </w:pPr>
      <w:r w:rsidDel="00000000" w:rsidR="00000000" w:rsidRPr="00000000">
        <w:rPr>
          <w:rtl w:val="0"/>
        </w:rPr>
      </w:r>
    </w:p>
    <w:p w:rsidR="00000000" w:rsidDel="00000000" w:rsidP="00000000" w:rsidRDefault="00000000" w:rsidRPr="00000000" w14:paraId="0000000E">
      <w:pPr>
        <w:spacing w:after="0" w:line="240" w:lineRule="auto"/>
        <w:jc w:val="center"/>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Alumnas. 2” A”</w:t>
      </w:r>
    </w:p>
    <w:p w:rsidR="00000000" w:rsidDel="00000000" w:rsidP="00000000" w:rsidRDefault="00000000" w:rsidRPr="00000000" w14:paraId="0000000F">
      <w:pPr>
        <w:spacing w:after="0" w:line="240" w:lineRule="auto"/>
        <w:jc w:val="center"/>
        <w:rPr>
          <w:rFonts w:ascii="Arial" w:cs="Arial" w:eastAsia="Arial" w:hAnsi="Arial"/>
          <w:color w:val="000000"/>
          <w:sz w:val="32"/>
          <w:szCs w:val="32"/>
        </w:rPr>
      </w:pPr>
      <w:r w:rsidDel="00000000" w:rsidR="00000000" w:rsidRPr="00000000">
        <w:rPr>
          <w:rtl w:val="0"/>
        </w:rPr>
      </w:r>
    </w:p>
    <w:p w:rsidR="00000000" w:rsidDel="00000000" w:rsidP="00000000" w:rsidRDefault="00000000" w:rsidRPr="00000000" w14:paraId="000000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240" w:lineRule="auto"/>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Andrea Elizabeth Aguirre Rodríguez #1</w:t>
      </w:r>
    </w:p>
    <w:p w:rsidR="00000000" w:rsidDel="00000000" w:rsidP="00000000" w:rsidRDefault="00000000" w:rsidRPr="00000000" w14:paraId="000000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240" w:lineRule="auto"/>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Sofía Vanessa Gaona Montoya #5</w:t>
      </w:r>
    </w:p>
    <w:p w:rsidR="00000000" w:rsidDel="00000000" w:rsidP="00000000" w:rsidRDefault="00000000" w:rsidRPr="00000000" w14:paraId="000000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240" w:lineRule="auto"/>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Paulina García Sánchez #8</w:t>
      </w:r>
    </w:p>
    <w:p w:rsidR="00000000" w:rsidDel="00000000" w:rsidP="00000000" w:rsidRDefault="00000000" w:rsidRPr="00000000" w14:paraId="00000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240" w:lineRule="auto"/>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Victoria Berenice Monreal Camacho #15</w:t>
      </w:r>
    </w:p>
    <w:p w:rsidR="00000000" w:rsidDel="00000000" w:rsidP="00000000" w:rsidRDefault="00000000" w:rsidRPr="00000000" w14:paraId="00000014">
      <w:pPr>
        <w:spacing w:after="0" w:line="240" w:lineRule="auto"/>
        <w:jc w:val="center"/>
        <w:rPr>
          <w:rFonts w:ascii="Arial" w:cs="Arial" w:eastAsia="Arial" w:hAnsi="Arial"/>
          <w:color w:val="000000"/>
          <w:sz w:val="32"/>
          <w:szCs w:val="32"/>
        </w:rPr>
      </w:pPr>
      <w:r w:rsidDel="00000000" w:rsidR="00000000" w:rsidRPr="00000000">
        <w:rPr>
          <w:rtl w:val="0"/>
        </w:rPr>
      </w:r>
    </w:p>
    <w:p w:rsidR="00000000" w:rsidDel="00000000" w:rsidP="00000000" w:rsidRDefault="00000000" w:rsidRPr="00000000" w14:paraId="00000015">
      <w:pPr>
        <w:spacing w:after="0" w:line="240" w:lineRule="auto"/>
        <w:jc w:val="center"/>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Docente. Yara Alejandra Hernández</w:t>
      </w:r>
    </w:p>
    <w:p w:rsidR="00000000" w:rsidDel="00000000" w:rsidP="00000000" w:rsidRDefault="00000000" w:rsidRPr="00000000" w14:paraId="00000016">
      <w:pPr>
        <w:spacing w:after="0" w:line="240" w:lineRule="auto"/>
        <w:jc w:val="center"/>
        <w:rPr>
          <w:rFonts w:ascii="Arial" w:cs="Arial" w:eastAsia="Arial" w:hAnsi="Arial"/>
          <w:color w:val="000000"/>
          <w:sz w:val="32"/>
          <w:szCs w:val="32"/>
        </w:rPr>
      </w:pPr>
      <w:r w:rsidDel="00000000" w:rsidR="00000000" w:rsidRPr="00000000">
        <w:rPr>
          <w:rtl w:val="0"/>
        </w:rPr>
      </w:r>
    </w:p>
    <w:p w:rsidR="00000000" w:rsidDel="00000000" w:rsidP="00000000" w:rsidRDefault="00000000" w:rsidRPr="00000000" w14:paraId="00000017">
      <w:pPr>
        <w:spacing w:after="0" w:line="240" w:lineRule="auto"/>
        <w:jc w:val="center"/>
        <w:rPr>
          <w:rFonts w:ascii="Arial" w:cs="Arial" w:eastAsia="Arial" w:hAnsi="Arial"/>
          <w:color w:val="000000"/>
          <w:sz w:val="32"/>
          <w:szCs w:val="32"/>
        </w:rPr>
      </w:pPr>
      <w:r w:rsidDel="00000000" w:rsidR="00000000" w:rsidRPr="00000000">
        <w:rPr>
          <w:rtl w:val="0"/>
        </w:rPr>
      </w:r>
    </w:p>
    <w:p w:rsidR="00000000" w:rsidDel="00000000" w:rsidP="00000000" w:rsidRDefault="00000000" w:rsidRPr="00000000" w14:paraId="00000018">
      <w:pPr>
        <w:spacing w:after="0" w:line="240" w:lineRule="auto"/>
        <w:jc w:val="center"/>
        <w:rPr>
          <w:rFonts w:ascii="Arial" w:cs="Arial" w:eastAsia="Arial" w:hAnsi="Arial"/>
          <w:color w:val="000000"/>
          <w:sz w:val="32"/>
          <w:szCs w:val="32"/>
        </w:rPr>
      </w:pPr>
      <w:r w:rsidDel="00000000" w:rsidR="00000000" w:rsidRPr="00000000">
        <w:rPr>
          <w:rtl w:val="0"/>
        </w:rPr>
      </w:r>
    </w:p>
    <w:p w:rsidR="00000000" w:rsidDel="00000000" w:rsidP="00000000" w:rsidRDefault="00000000" w:rsidRPr="00000000" w14:paraId="00000019">
      <w:pPr>
        <w:spacing w:after="0" w:line="240" w:lineRule="auto"/>
        <w:jc w:val="center"/>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I UNIDAD</w:t>
      </w:r>
    </w:p>
    <w:p w:rsidR="00000000" w:rsidDel="00000000" w:rsidP="00000000" w:rsidRDefault="00000000" w:rsidRPr="00000000" w14:paraId="0000001A">
      <w:pPr>
        <w:spacing w:after="0" w:line="240" w:lineRule="auto"/>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LAS PRÁCTICAS SOCIALES DEL LENGUAJE COMO ENFOQUE PARA LA DEFINICIÓN DE LOS CONTENIDOS EN LOS PLANES Y PROGRAMAS DE EDUCACIÓN BÁSICA</w:t>
      </w:r>
    </w:p>
    <w:p w:rsidR="00000000" w:rsidDel="00000000" w:rsidP="00000000" w:rsidRDefault="00000000" w:rsidRPr="00000000" w14:paraId="0000001B">
      <w:pPr>
        <w:spacing w:after="0" w:line="240" w:lineRule="auto"/>
        <w:jc w:val="cente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C">
      <w:pPr>
        <w:spacing w:after="0" w:line="240" w:lineRule="auto"/>
        <w:jc w:val="cente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D">
      <w:pPr>
        <w:spacing w:after="0" w:line="240" w:lineRule="auto"/>
        <w:jc w:val="cente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E">
      <w:pPr>
        <w:spacing w:after="0" w:line="240" w:lineRule="auto"/>
        <w:jc w:val="cente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F">
      <w:pPr>
        <w:spacing w:after="0" w:line="240" w:lineRule="auto"/>
        <w:jc w:val="cente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0">
      <w:pPr>
        <w:spacing w:after="0" w:line="240" w:lineRule="auto"/>
        <w:jc w:val="cente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1">
      <w:pPr>
        <w:spacing w:after="0" w:line="240" w:lineRule="auto"/>
        <w:jc w:val="cente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color w:val="000000"/>
          <w:sz w:val="32"/>
          <w:szCs w:val="32"/>
        </w:rPr>
      </w:pPr>
      <w:bookmarkStart w:colFirst="0" w:colLast="0" w:name="_gjdgxs" w:id="0"/>
      <w:bookmarkEnd w:id="0"/>
      <w:r w:rsidDel="00000000" w:rsidR="00000000" w:rsidRPr="00000000">
        <w:rPr>
          <w:rFonts w:ascii="Arial" w:cs="Arial" w:eastAsia="Arial" w:hAnsi="Arial"/>
          <w:color w:val="000000"/>
          <w:sz w:val="32"/>
          <w:szCs w:val="32"/>
          <w:rtl w:val="0"/>
        </w:rPr>
        <w:t xml:space="preserve">Saltillo, Coahuila                                                marzo 2021</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 que todos sabemos es que en estos últimos veinte años se han producido profundas mutaciones en los procesos de personalización, en el mundo del trabajo, en las instituciones básicas que instituyó la modernidad</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desarrollo de las nuevas tecnologías electrónicas para la transmisión y almacenamiento de datos no solo ha impactado en estos territorios, sino que también han constituido un ecosistema o ambiente donde se desenvuelve nuestra vida</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Entramado tecnológico completamente nuevo que ha cambiado la geografía de los hogares, el espacio público y la vida cotidiana de los jóvenes. </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rápida expansión de la web en la sociedad contemporánea ha provocado también los más variados efectos en el mundo de la economía, el trabajo, la educación, el espacio público, la política y la guerra.</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entre los más jóvenes donde se puede apreciar el impacto cultural de la red. </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todos nuestros países el acceso a Internet ha crecido de manera significativa, pero también en todos lo ha hecho de manera muy desigual. </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son iguales los equipamientos hogareños, los lugares de acceso ni las formas en que se produce la conexión. </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locutorio (o las cabinas públicas de acceso en todas sus formas) debe ser visto como un lugar de sociabilidad, como un modo de ampliación del espacio público</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relaciones personales se dan al mismo tiempo en nuevos lugares de encuentro y sociabilidad, pero donde se producen vínculos virtuales y donde la intervención y mediación tecnológica es creciente. </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cambio en relación al espacio público está acompañado por otra transformación importante para los jóvenes y para toda la sociedad</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debate académico del siglo xxi está atravesado por la reflexión sobre la sociedad del conocimiento, las tecnologías de la comunicación</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fenómenos estructurales que contribuyen a esta “reclusión voluntaria” en apretados espacios de convivencia como son los locutorios o cibercafés.</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cambios en la topología hogareña han sido tan importantes como lo son las modificaciones que acabamos de describir en el espacio público.</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hogares europeos comenzaron a cambiar profundamente y se conformó una topografía en la que era posible distinguir espacios íntimos, privados y públicos.</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pluma y el libro abrieron espacios de intimidad dedicados al ejercicio privado de la lectura y la escritura</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teléfono doméstico fue también un contacto con el mundo, especialmente para las mujeres que desarrollaban desde allí una parte de su vida social.</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presencia de la televisión, las computadoras y los celulares rompe lo que solía ser un mundo donde el círculo padres-niño mantenía cierta autonomía.</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nuevas tecnologías de la comunicación tienen también una estrecha relación con el cuerpo de los jóvenes: lo conectan al mundo, lo habitan de sonidos, lo excitan con imágenes, lo aíslan cuando transita por el espacio público y lo hacen vibrar en medio de los mayores silencios</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nuevas tecnologías funcionan más que nunca como prolongaciones del cuerpo</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probable que en un futuro no tan lejano estos mismos jóvenes decidan emigrar de forma temprana de los hogares paternos y que, antes que bregar por la soledad o la independencia</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industrias culturales atacan cada vez más a los chicos con ofertas dirigidas a ellos, porque son además quienes tienen cada vez más capacidad de tomar decisiones en el seno de la familia. </w:t>
      </w:r>
    </w:p>
    <w:p w:rsidR="00000000" w:rsidDel="00000000" w:rsidP="00000000" w:rsidRDefault="00000000" w:rsidRPr="00000000" w14:paraId="00000038">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planeta entero ha vivido una expansión nunca imaginada de esta tecnología. Lo hizo de forma desigual y en tiempos distintos, pero lo ha hecho con la fuerza que le dio una industria muy agresiva, una demanda sostenida de los consumidores y el abaratamiento de los costos de los aparatos, aunque no de las tarifas.</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teléfono celular es hoy un dispositivo estratégico tanto desde el punto de vista industrial como en su capacidad de resumir en un solo aparato casi todos los medios que conocimos en el siglo xx.</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 aparato del que todavía sabemos poco, que se ha revelado como un localizador instantáneo de personas (una especie de GPS voluntario que cada uno de nosotros lleva consigo) y cuyas consecuencias culturales son todavía impredecibles.</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Estas tecnologías –sobre todo la telefonía celular– se han transformado en una parte de la vestimenta con la que hay que salir de casa, se han convertido en un pliegue del cuerpo, en un aparato incorporado a su vida de relaciones y que, por lo tanto, también ingresan a las instituciones donde transitan: la escuela, los cines, los espectáculos, los cafés y el espacio público.</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Quienes trabajamos, investigamos y hacemos docencia en este territorio sabemos que aparecen de manera constante temas novedosos y enfoques cambiantes para pensar el modo en que las nuevas tecnologías generan prácticas sociales y culturales en el mundo, lo que nos lleva a ejercer una especie de vigilancia epistemológica permanente sobre este territorio.</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Pero hay una perspectiva sobre la que se ha escrito menos: la evolución de la portabilidad de los medios de comunicación, desde aquellos viejos aparatos “sedentarios” y gregarios, en tanto reunían a la familia a su alrededor, hacia otros crecientemente portátiles y personales.</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portabilidad, esa dirección hacia la cual evolucionaron los medios, unida al fenómeno de la personalización, da como resultado significativos cambios sociales, nuevos circuitos urbanos y constituye otra alteración en la percepción del tiempo y del espacio, tal como sucedió con cada avance tecnológico.</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portabilidad es el fruto de sociedades en constante movimiento, con individuos que necesitan revestirse de los objetos que utilizan, tenerlos siempre consigo. </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portabilidad de la radio llegó al trabajo, a la calle y al auto. La portabilidad de la música, por su parte, no solo se vio reflejada en la radio a transistores, sino también en los “minicomponentes” a pila.</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evolución del celular ha permitido disminuir su tamaño y peso: baterías más pequeñas y duraderas, pantallas más nítidas con colores y software más amigable son algunos de los atributos que fueron adquiriendo los celulares en su proceso de achicamiento.</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desarrollo tecnológico entonces produce o acelera cambios no solamente en relación a la convergencia digital y a las organizaciones sociales (formaciones de redes, nuevos vínculos sociales, etc.), sino también en cuanto a la concepción del tiempo y del espacio. Las transformaciones en el tiempo y en el espacio no tienen su origen en la modernidad ni son resultado de la revolución digital.</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digitalización y la expansión de las nuevas tecnologías han producido un vaciado temporal, que en realidad ha sido una precondición para el vaciado espacial y como tal tiene prioridad causal sobre este, porque la coordinación a través del tiempo es la base del control del espacio.</w:t>
      </w:r>
    </w:p>
    <w:p w:rsidR="00000000" w:rsidDel="00000000" w:rsidP="00000000" w:rsidRDefault="00000000" w:rsidRPr="00000000" w14:paraId="0000004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superposición de espacios afecta también a la escena en la que se encuentra físicamente la persona.</w:t>
      </w:r>
    </w:p>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relaciones sociales a través de los medios de comunicación ya no están atadas a un lugar concreto, sino que están atadas a una persona.</w:t>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celular es una tecnología que tiene una enorme capacidad de producir transversalidad tecnológica en todos los segmentos socioculturales, etarios y de ingresos, en cualquier pirámide que seamos capaces de construir.</w:t>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Existen al menos dos clases de brechas en el uso y apropiación de las TIC que modifican el modo en que se estructuran las subjetividades en las sociedades contemporáneas:</w:t>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una brecha generacional en el consumo y la incorporación de las tecnologías digitales, fundamentalmente en lo que hace a las destrezas de los jóvenes en el manejo de los lenguajes audiovisuales y digitales, y b) una brecha en la disponibilidad al acceso, ya que los jóvenes desarrollan estrategias de apropiación y uso de las tecnologías que a los adultos les resultan más lejanas y dificultosas.</w:t>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Cómo impacto de estos fenómenos en el campo de las subjetividades juveniles y las tecno culturas del siglo XXI se encuentra en primer lugar que los jóvenes han nacido o se han educado/socializado en entornos donde lo digital se comporta como naturaleza. En segundo lugar, los jóvenes suelen tener una visión positiva de las tecnologías (no se vinculan con ellas a partir de un juicio crítico) y tienden a incorporarlas a su vida como herramientas que están a la mano.</w:t>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Cómo características de este nuevo ambiente es un ambiente veloz, es decir, donde el procesamiento de información duplica o triplica la velocidad de los procesos que caracterizaron el mundo de sus padres.</w:t>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Han cambiado los parámetros espacio-temporales.</w:t>
      </w:r>
    </w:p>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posibilidades de interacción aumentan en forma exponencial y el caudal de información crece de manera también exponencial. Estas nuevas herramientas facilitan la constitución de un entorno colaborativo, que se expresa en la fundación de comunidades virtuales.</w:t>
      </w:r>
    </w:p>
    <w:p w:rsidR="00000000" w:rsidDel="00000000" w:rsidP="00000000" w:rsidRDefault="00000000" w:rsidRPr="00000000" w14:paraId="0000004E">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before="0" w:line="276"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jóvenes no privilegian la voz en el uso del teléfono, sino que tienden a incorporar los mensajes de texto y reducen al mínimo el habla.</w:t>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before="0" w:line="276"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Uno de los fenómenos más notables que arroja esta nueva práctica de escritura consiste en hacernos vivir algo así como una vuelta al género epistolar, pero ahora a través del teléfono y de la mano del mail.</w:t>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before="0" w:line="276"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jóvenes se envían mensajes de texto, como opción más barata, pero también como continuación del chat, y todo esto a través de lenguajes y escrituras de última generación.</w:t>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before="0" w:line="276"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tipo de escritura, que está en parte condicionada por el medio, las palabras cortadas y las frases cortas son una exigencia de un diálogo</w:t>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before="0" w:line="276"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niños detectan si un adulto entra en el Messenger justamente porque tiende a escribir de manera diferente, siguiendo las reglas del siglo xx. </w:t>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before="0" w:line="276"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Estamos sin duda frente a nuevos modos de relación, no verbal ni corporal, sino virtual, que como las otras modalidades tiene características y reglas propias. </w:t>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before="0" w:line="276"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uso del nick name tiene relación con las identidades inestables de las que se hablaba más arriba.</w:t>
      </w:r>
    </w:p>
    <w:p w:rsidR="00000000" w:rsidDel="00000000" w:rsidP="00000000" w:rsidRDefault="00000000" w:rsidRPr="00000000" w14:paraId="00000055">
      <w:pPr>
        <w:spacing w:line="276" w:lineRule="auto"/>
        <w:jc w:val="both"/>
        <w:rPr>
          <w:rFonts w:ascii="Arial" w:cs="Arial" w:eastAsia="Arial" w:hAnsi="Arial"/>
          <w:sz w:val="28"/>
          <w:szCs w:val="28"/>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eko"/>
  <w:font w:name="Verdana"/>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