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943" w:rsidRDefault="002D6943" w:rsidP="002D694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Escuela Normal de Educación Preescolar</w:t>
      </w:r>
    </w:p>
    <w:p w:rsidR="002D6943" w:rsidRDefault="002D6943" w:rsidP="002D694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Licenciatura en Educación Preescolar</w:t>
      </w:r>
    </w:p>
    <w:p w:rsidR="002D6943" w:rsidRDefault="002D6943" w:rsidP="002D694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Ciclo Escolar 2020 – 2021</w:t>
      </w:r>
    </w:p>
    <w:p w:rsidR="002D6943" w:rsidRDefault="002D6943" w:rsidP="002D694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2D6943" w:rsidRDefault="002D6943" w:rsidP="002D694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es-MX"/>
        </w:rPr>
        <w:drawing>
          <wp:inline distT="0" distB="0" distL="0" distR="0" wp14:anchorId="5FAE3C2F" wp14:editId="3A47B57C">
            <wp:extent cx="1000760" cy="1163955"/>
            <wp:effectExtent l="0" t="0" r="0" b="0"/>
            <wp:docPr id="3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20" r="16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1163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6943" w:rsidRDefault="002D6943" w:rsidP="002D694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2D6943" w:rsidRDefault="002D6943" w:rsidP="002D694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ACTIVIDAD: </w:t>
      </w:r>
      <w:r w:rsidRPr="002D6943">
        <w:rPr>
          <w:rFonts w:ascii="Arial" w:hAnsi="Arial" w:cs="Arial"/>
          <w:b/>
          <w:bCs/>
          <w:sz w:val="28"/>
          <w:szCs w:val="28"/>
        </w:rPr>
        <w:t>QUE ES LA REPRESENTACIÓN OBJETIVA E INTERPRETACIÓN SUBJETIVA DE LOS OBJETOS DE LA REALIDAD</w:t>
      </w:r>
    </w:p>
    <w:p w:rsidR="002D6943" w:rsidRDefault="002D6943" w:rsidP="002D6943">
      <w:pPr>
        <w:jc w:val="center"/>
        <w:rPr>
          <w:rFonts w:ascii="Arial" w:hAnsi="Arial" w:cs="Arial"/>
          <w:b/>
          <w:bCs/>
          <w:sz w:val="2"/>
          <w:szCs w:val="2"/>
        </w:rPr>
      </w:pPr>
    </w:p>
    <w:p w:rsidR="002D6943" w:rsidRDefault="002D6943" w:rsidP="002D694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Curso:</w:t>
      </w:r>
    </w:p>
    <w:p w:rsidR="002D6943" w:rsidRDefault="002D6943" w:rsidP="002D694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Artes Visuales</w:t>
      </w:r>
    </w:p>
    <w:p w:rsidR="002D6943" w:rsidRDefault="002D6943" w:rsidP="002D694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2D6943" w:rsidRDefault="002D6943" w:rsidP="002D694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Maestra: </w:t>
      </w:r>
    </w:p>
    <w:p w:rsidR="002D6943" w:rsidRDefault="002D6943" w:rsidP="002D694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Silvia Erika </w:t>
      </w:r>
      <w:proofErr w:type="spellStart"/>
      <w:r>
        <w:rPr>
          <w:rFonts w:ascii="Arial" w:hAnsi="Arial" w:cs="Arial"/>
          <w:sz w:val="28"/>
          <w:szCs w:val="28"/>
        </w:rPr>
        <w:t>Sagahon</w:t>
      </w:r>
      <w:proofErr w:type="spellEnd"/>
    </w:p>
    <w:p w:rsidR="002D6943" w:rsidRDefault="002D6943" w:rsidP="002D6943">
      <w:pPr>
        <w:jc w:val="center"/>
        <w:rPr>
          <w:rFonts w:ascii="Arial" w:hAnsi="Arial" w:cs="Arial"/>
          <w:sz w:val="20"/>
          <w:szCs w:val="20"/>
        </w:rPr>
      </w:pPr>
    </w:p>
    <w:p w:rsidR="002D6943" w:rsidRDefault="002D6943" w:rsidP="002D694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Alumna:</w:t>
      </w:r>
      <w:r>
        <w:rPr>
          <w:rFonts w:ascii="Arial" w:hAnsi="Arial" w:cs="Arial"/>
          <w:sz w:val="28"/>
          <w:szCs w:val="28"/>
        </w:rPr>
        <w:t xml:space="preserve"> </w:t>
      </w:r>
    </w:p>
    <w:p w:rsidR="002D6943" w:rsidRDefault="002D6943" w:rsidP="002D694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Paulina Guerrero Sánchez </w:t>
      </w:r>
      <w:r>
        <w:rPr>
          <w:rFonts w:ascii="Arial" w:hAnsi="Arial" w:cs="Arial"/>
          <w:b/>
          <w:bCs/>
          <w:sz w:val="28"/>
          <w:szCs w:val="28"/>
        </w:rPr>
        <w:t>#9</w:t>
      </w:r>
    </w:p>
    <w:p w:rsidR="002D6943" w:rsidRDefault="002D6943" w:rsidP="002D6943">
      <w:pPr>
        <w:rPr>
          <w:rFonts w:ascii="Arial" w:hAnsi="Arial" w:cs="Arial"/>
          <w:sz w:val="18"/>
          <w:szCs w:val="18"/>
        </w:rPr>
      </w:pPr>
    </w:p>
    <w:p w:rsidR="002D6943" w:rsidRDefault="002D6943" w:rsidP="002D694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Grado y Sección</w:t>
      </w:r>
      <w:r>
        <w:rPr>
          <w:rFonts w:ascii="Arial" w:hAnsi="Arial" w:cs="Arial"/>
          <w:sz w:val="28"/>
          <w:szCs w:val="28"/>
        </w:rPr>
        <w:t xml:space="preserve">: </w:t>
      </w:r>
    </w:p>
    <w:p w:rsidR="002D6943" w:rsidRDefault="002D6943" w:rsidP="002D694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3°A</w:t>
      </w:r>
    </w:p>
    <w:p w:rsidR="002D6943" w:rsidRDefault="002D6943" w:rsidP="002D6943">
      <w:pPr>
        <w:jc w:val="center"/>
        <w:rPr>
          <w:rFonts w:ascii="Arial" w:hAnsi="Arial" w:cs="Arial"/>
          <w:sz w:val="28"/>
          <w:szCs w:val="28"/>
        </w:rPr>
      </w:pPr>
    </w:p>
    <w:p w:rsidR="002D6943" w:rsidRDefault="002D6943" w:rsidP="002D6943">
      <w:pPr>
        <w:jc w:val="center"/>
        <w:rPr>
          <w:rFonts w:ascii="Arial" w:hAnsi="Arial" w:cs="Arial"/>
          <w:sz w:val="28"/>
          <w:szCs w:val="28"/>
        </w:rPr>
      </w:pPr>
    </w:p>
    <w:p w:rsidR="002D6943" w:rsidRDefault="002D6943" w:rsidP="002D6943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27</w:t>
      </w:r>
      <w:r>
        <w:rPr>
          <w:rFonts w:ascii="Arial" w:hAnsi="Arial" w:cs="Arial"/>
          <w:b/>
          <w:bCs/>
          <w:sz w:val="28"/>
          <w:szCs w:val="28"/>
        </w:rPr>
        <w:t xml:space="preserve"> de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Marzo</w:t>
      </w:r>
      <w:proofErr w:type="gramEnd"/>
      <w:r>
        <w:rPr>
          <w:rFonts w:ascii="Arial" w:hAnsi="Arial" w:cs="Arial"/>
          <w:b/>
          <w:bCs/>
          <w:sz w:val="28"/>
          <w:szCs w:val="28"/>
        </w:rPr>
        <w:t>, 2021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 xml:space="preserve">Saltillo, Coahuila </w:t>
      </w:r>
    </w:p>
    <w:p w:rsidR="002D6943" w:rsidRDefault="002D6943" w:rsidP="002D6943">
      <w:pPr>
        <w:jc w:val="center"/>
        <w:rPr>
          <w:rFonts w:ascii="Arial" w:hAnsi="Arial" w:cs="Arial"/>
          <w:sz w:val="28"/>
          <w:szCs w:val="28"/>
        </w:rPr>
      </w:pPr>
    </w:p>
    <w:p w:rsidR="00095D17" w:rsidRPr="00095D17" w:rsidRDefault="00095D17" w:rsidP="00095D1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95D17">
        <w:rPr>
          <w:rFonts w:ascii="Arial" w:hAnsi="Arial" w:cs="Arial"/>
          <w:b/>
          <w:bCs/>
          <w:sz w:val="28"/>
          <w:szCs w:val="28"/>
        </w:rPr>
        <w:lastRenderedPageBreak/>
        <w:t>REPRESENTACIÓN OBJETIVA</w:t>
      </w:r>
    </w:p>
    <w:p w:rsidR="00095D17" w:rsidRPr="00095D17" w:rsidRDefault="00095D17" w:rsidP="00567B45">
      <w:pPr>
        <w:spacing w:line="360" w:lineRule="auto"/>
        <w:jc w:val="both"/>
        <w:rPr>
          <w:rFonts w:ascii="Arial" w:hAnsi="Arial" w:cs="Arial"/>
          <w:bCs/>
          <w:sz w:val="24"/>
          <w:szCs w:val="28"/>
        </w:rPr>
      </w:pPr>
      <w:r w:rsidRPr="00095D17">
        <w:rPr>
          <w:rFonts w:ascii="Arial" w:hAnsi="Arial" w:cs="Arial"/>
          <w:bCs/>
          <w:sz w:val="24"/>
          <w:szCs w:val="28"/>
        </w:rPr>
        <w:t>Son procedimientos que nos permiten representar los objetos de manera precisa siguiendo diferentes principios y normas escritas.</w:t>
      </w:r>
    </w:p>
    <w:p w:rsidR="00095D17" w:rsidRPr="00095D17" w:rsidRDefault="00095D17" w:rsidP="00567B45">
      <w:pPr>
        <w:spacing w:line="360" w:lineRule="auto"/>
        <w:jc w:val="both"/>
        <w:rPr>
          <w:rFonts w:ascii="Arial" w:hAnsi="Arial" w:cs="Arial"/>
          <w:bCs/>
          <w:sz w:val="24"/>
          <w:szCs w:val="28"/>
        </w:rPr>
      </w:pPr>
      <w:r w:rsidRPr="00095D17">
        <w:rPr>
          <w:rFonts w:ascii="Arial" w:hAnsi="Arial" w:cs="Arial"/>
          <w:bCs/>
          <w:sz w:val="24"/>
          <w:szCs w:val="28"/>
        </w:rPr>
        <w:t>Debido a estos dos planos, el espacio queda dividido en cuatro partes iguales, cada una de las cuales recibe e</w:t>
      </w:r>
      <w:r w:rsidRPr="00095D17">
        <w:rPr>
          <w:rFonts w:ascii="Arial" w:hAnsi="Arial" w:cs="Arial"/>
          <w:bCs/>
          <w:sz w:val="24"/>
          <w:szCs w:val="28"/>
        </w:rPr>
        <w:t>l nombre de diedro o cuadrante.</w:t>
      </w:r>
    </w:p>
    <w:p w:rsidR="002D6943" w:rsidRPr="00095D17" w:rsidRDefault="00095D17" w:rsidP="00567B45">
      <w:pPr>
        <w:spacing w:line="360" w:lineRule="auto"/>
        <w:jc w:val="both"/>
        <w:rPr>
          <w:rFonts w:ascii="Arial" w:hAnsi="Arial" w:cs="Arial"/>
          <w:bCs/>
          <w:sz w:val="24"/>
          <w:szCs w:val="28"/>
        </w:rPr>
      </w:pPr>
      <w:r w:rsidRPr="00095D17">
        <w:rPr>
          <w:rFonts w:ascii="Arial" w:hAnsi="Arial" w:cs="Arial"/>
          <w:bCs/>
          <w:sz w:val="24"/>
          <w:szCs w:val="28"/>
        </w:rPr>
        <w:t>Esto nos da una visión del sistema de representación en el espacio.</w:t>
      </w:r>
    </w:p>
    <w:p w:rsidR="00565866" w:rsidRDefault="00095D17" w:rsidP="00567B45">
      <w:pPr>
        <w:spacing w:line="360" w:lineRule="auto"/>
        <w:jc w:val="both"/>
        <w:rPr>
          <w:rFonts w:ascii="Arial" w:hAnsi="Arial" w:cs="Arial"/>
          <w:sz w:val="24"/>
        </w:rPr>
      </w:pPr>
      <w:r w:rsidRPr="00095D17">
        <w:rPr>
          <w:rFonts w:ascii="Arial" w:hAnsi="Arial" w:cs="Arial"/>
          <w:sz w:val="24"/>
        </w:rPr>
        <w:t>En el objetivismo, el objeto es determinante en la relación entre sujeto-objeto. El objeto es el que determina al o</w:t>
      </w:r>
      <w:r w:rsidRPr="00095D17">
        <w:rPr>
          <w:rFonts w:ascii="Arial" w:hAnsi="Arial" w:cs="Arial"/>
          <w:sz w:val="24"/>
        </w:rPr>
        <w:t xml:space="preserve">bjeto. El sujeto sólo se limita </w:t>
      </w:r>
      <w:r w:rsidRPr="00095D17">
        <w:rPr>
          <w:rFonts w:ascii="Arial" w:hAnsi="Arial" w:cs="Arial"/>
          <w:sz w:val="24"/>
        </w:rPr>
        <w:t>a reproducir las propiedades que le son propi</w:t>
      </w:r>
      <w:r w:rsidRPr="00095D17">
        <w:rPr>
          <w:rFonts w:ascii="Arial" w:hAnsi="Arial" w:cs="Arial"/>
          <w:sz w:val="24"/>
        </w:rPr>
        <w:t xml:space="preserve">as al objeto. El objeto es algo </w:t>
      </w:r>
      <w:r w:rsidRPr="00095D17">
        <w:rPr>
          <w:rFonts w:ascii="Arial" w:hAnsi="Arial" w:cs="Arial"/>
          <w:sz w:val="24"/>
        </w:rPr>
        <w:t>acabado, que se aparece a la conciencia del suje</w:t>
      </w:r>
      <w:r w:rsidRPr="00095D17">
        <w:rPr>
          <w:rFonts w:ascii="Arial" w:hAnsi="Arial" w:cs="Arial"/>
          <w:sz w:val="24"/>
        </w:rPr>
        <w:t xml:space="preserve">to. Los objetos son algo </w:t>
      </w:r>
      <w:r w:rsidRPr="00095D17">
        <w:rPr>
          <w:rFonts w:ascii="Arial" w:hAnsi="Arial" w:cs="Arial"/>
          <w:sz w:val="24"/>
        </w:rPr>
        <w:t>dado, con una estructura totalmente definida</w:t>
      </w:r>
      <w:r w:rsidRPr="00095D17">
        <w:rPr>
          <w:rFonts w:ascii="Arial" w:hAnsi="Arial" w:cs="Arial"/>
          <w:sz w:val="24"/>
        </w:rPr>
        <w:t xml:space="preserve">, la cual debe ser reconstruida </w:t>
      </w:r>
      <w:r w:rsidRPr="00095D17">
        <w:rPr>
          <w:rFonts w:ascii="Arial" w:hAnsi="Arial" w:cs="Arial"/>
          <w:sz w:val="24"/>
        </w:rPr>
        <w:t>por el sujeto. Tal vez el exponente más claro</w:t>
      </w:r>
      <w:r w:rsidRPr="00095D17">
        <w:rPr>
          <w:rFonts w:ascii="Arial" w:hAnsi="Arial" w:cs="Arial"/>
          <w:sz w:val="24"/>
        </w:rPr>
        <w:t xml:space="preserve"> del objetivismo lo encontramos en Platón. </w:t>
      </w:r>
      <w:r w:rsidRPr="00095D17">
        <w:rPr>
          <w:rFonts w:ascii="Arial" w:hAnsi="Arial" w:cs="Arial"/>
          <w:sz w:val="24"/>
        </w:rPr>
        <w:t>Postula su teoría de las Ideas, en que éstas son presentadas como</w:t>
      </w:r>
      <w:r w:rsidRPr="00095D17">
        <w:rPr>
          <w:rFonts w:ascii="Arial" w:hAnsi="Arial" w:cs="Arial"/>
          <w:sz w:val="24"/>
        </w:rPr>
        <w:t xml:space="preserve"> </w:t>
      </w:r>
      <w:r w:rsidRPr="00095D17">
        <w:rPr>
          <w:rFonts w:ascii="Arial" w:hAnsi="Arial" w:cs="Arial"/>
          <w:sz w:val="24"/>
        </w:rPr>
        <w:t>realidades objetivas y conforman un reino sustancial.</w:t>
      </w:r>
    </w:p>
    <w:p w:rsidR="00F2762D" w:rsidRDefault="00F2762D" w:rsidP="00095D17">
      <w:pPr>
        <w:spacing w:line="276" w:lineRule="auto"/>
        <w:rPr>
          <w:rFonts w:ascii="Arial" w:hAnsi="Arial" w:cs="Arial"/>
          <w:sz w:val="24"/>
        </w:rPr>
      </w:pPr>
    </w:p>
    <w:p w:rsidR="00F2762D" w:rsidRDefault="00F2762D" w:rsidP="00F2762D">
      <w:pPr>
        <w:spacing w:line="276" w:lineRule="auto"/>
        <w:jc w:val="center"/>
        <w:rPr>
          <w:rFonts w:ascii="Arial" w:hAnsi="Arial" w:cs="Arial"/>
          <w:b/>
          <w:sz w:val="28"/>
        </w:rPr>
      </w:pPr>
      <w:r w:rsidRPr="00F2762D">
        <w:rPr>
          <w:rFonts w:ascii="Arial" w:hAnsi="Arial" w:cs="Arial"/>
          <w:b/>
          <w:sz w:val="28"/>
        </w:rPr>
        <w:t>INTERPRETACIÓN SUBJETIVA</w:t>
      </w:r>
    </w:p>
    <w:p w:rsidR="00E37003" w:rsidRDefault="00E37003" w:rsidP="00567B45">
      <w:pPr>
        <w:spacing w:line="360" w:lineRule="auto"/>
        <w:jc w:val="both"/>
        <w:rPr>
          <w:rFonts w:ascii="Arial" w:hAnsi="Arial" w:cs="Arial"/>
          <w:sz w:val="24"/>
        </w:rPr>
      </w:pPr>
      <w:r w:rsidRPr="00E37003">
        <w:rPr>
          <w:rFonts w:ascii="Arial" w:hAnsi="Arial" w:cs="Arial"/>
          <w:sz w:val="24"/>
        </w:rPr>
        <w:t xml:space="preserve">Al inquirir cuál sea el objeto de Ia interpretación, </w:t>
      </w:r>
      <w:r w:rsidR="00567B45">
        <w:rPr>
          <w:rFonts w:ascii="Arial" w:hAnsi="Arial" w:cs="Arial"/>
          <w:sz w:val="24"/>
        </w:rPr>
        <w:t>nos referimos exclusivamente a l</w:t>
      </w:r>
      <w:r w:rsidRPr="00E37003">
        <w:rPr>
          <w:rFonts w:ascii="Arial" w:hAnsi="Arial" w:cs="Arial"/>
          <w:sz w:val="24"/>
        </w:rPr>
        <w:t xml:space="preserve">a interpretación científica o doctrinal, no a Ia auténtica o a Ia usual. Mas esta circunscripción en el ámbito de nuestro tema no Ia hacemos, como parece ya ser dogma generalmente admitido por los civilistas—adheridos </w:t>
      </w:r>
      <w:r>
        <w:rPr>
          <w:rFonts w:ascii="Arial" w:hAnsi="Arial" w:cs="Arial"/>
          <w:sz w:val="24"/>
        </w:rPr>
        <w:t>en esto a Ia doctrina de SAVIGNI</w:t>
      </w:r>
      <w:r w:rsidRPr="00E37003">
        <w:rPr>
          <w:rFonts w:ascii="Arial" w:hAnsi="Arial" w:cs="Arial"/>
          <w:sz w:val="24"/>
        </w:rPr>
        <w:t>—, por estimar</w:t>
      </w:r>
      <w:r w:rsidR="00567B45">
        <w:rPr>
          <w:rFonts w:ascii="Arial" w:hAnsi="Arial" w:cs="Arial"/>
          <w:sz w:val="24"/>
        </w:rPr>
        <w:t xml:space="preserve"> que Ia interpretación auténtica</w:t>
      </w:r>
      <w:r w:rsidRPr="00E37003">
        <w:rPr>
          <w:rFonts w:ascii="Arial" w:hAnsi="Arial" w:cs="Arial"/>
          <w:sz w:val="24"/>
        </w:rPr>
        <w:t xml:space="preserve"> y Ia usual no pueden ser verdadera inter</w:t>
      </w:r>
      <w:r w:rsidR="00567B45">
        <w:rPr>
          <w:rFonts w:ascii="Arial" w:hAnsi="Arial" w:cs="Arial"/>
          <w:sz w:val="24"/>
        </w:rPr>
        <w:t>pretación, sino porque, cuando l</w:t>
      </w:r>
      <w:r w:rsidRPr="00E37003">
        <w:rPr>
          <w:rFonts w:ascii="Arial" w:hAnsi="Arial" w:cs="Arial"/>
          <w:sz w:val="24"/>
        </w:rPr>
        <w:t>o son, deben regirse por las mismas normas que Ia interpre</w:t>
      </w:r>
      <w:r>
        <w:rPr>
          <w:rFonts w:ascii="Arial" w:hAnsi="Arial" w:cs="Arial"/>
          <w:sz w:val="24"/>
        </w:rPr>
        <w:t>tación doctrinal. Afirma SAVIGNI</w:t>
      </w:r>
      <w:r w:rsidRPr="00E37003">
        <w:rPr>
          <w:rFonts w:ascii="Arial" w:hAnsi="Arial" w:cs="Arial"/>
          <w:sz w:val="24"/>
        </w:rPr>
        <w:t xml:space="preserve"> que Ia interpretación presupone siempre Ia acción libre de Ia inteligencia, y en este senti</w:t>
      </w:r>
      <w:r w:rsidR="00567B45">
        <w:rPr>
          <w:rFonts w:ascii="Arial" w:hAnsi="Arial" w:cs="Arial"/>
          <w:sz w:val="24"/>
        </w:rPr>
        <w:t>do hay que convenir, dice, que l</w:t>
      </w:r>
      <w:r w:rsidRPr="00E37003">
        <w:rPr>
          <w:rFonts w:ascii="Arial" w:hAnsi="Arial" w:cs="Arial"/>
          <w:sz w:val="24"/>
        </w:rPr>
        <w:t xml:space="preserve">a llamada interpretación legal (auténtica) no es una especie de interpretación, sino más bien el contraste, Ia exclusión, </w:t>
      </w:r>
      <w:r>
        <w:rPr>
          <w:rFonts w:ascii="Arial" w:hAnsi="Arial" w:cs="Arial"/>
          <w:sz w:val="24"/>
        </w:rPr>
        <w:t xml:space="preserve">Ia prohibición de Ia inteligencia </w:t>
      </w:r>
      <w:r w:rsidR="00567B45">
        <w:rPr>
          <w:rFonts w:ascii="Arial" w:hAnsi="Arial" w:cs="Arial"/>
          <w:sz w:val="24"/>
        </w:rPr>
        <w:t>verdadera.</w:t>
      </w:r>
      <w:r w:rsidRPr="00E37003">
        <w:rPr>
          <w:rFonts w:ascii="Arial" w:hAnsi="Arial" w:cs="Arial"/>
          <w:sz w:val="24"/>
        </w:rPr>
        <w:t xml:space="preserve"> En parecido sentido a</w:t>
      </w:r>
      <w:r>
        <w:rPr>
          <w:rFonts w:ascii="Arial" w:hAnsi="Arial" w:cs="Arial"/>
          <w:sz w:val="24"/>
        </w:rPr>
        <w:t xml:space="preserve">firma - GAZ y LACAMBRA (8) </w:t>
      </w:r>
    </w:p>
    <w:p w:rsidR="00F2762D" w:rsidRDefault="00E37003" w:rsidP="00567B45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(Q</w:t>
      </w:r>
      <w:r w:rsidRPr="00E37003">
        <w:rPr>
          <w:rFonts w:ascii="Arial" w:hAnsi="Arial" w:cs="Arial"/>
          <w:sz w:val="24"/>
        </w:rPr>
        <w:t>ue Ia supuesta interpretación auténtica, más que</w:t>
      </w:r>
      <w:r>
        <w:rPr>
          <w:rFonts w:ascii="Arial" w:hAnsi="Arial" w:cs="Arial"/>
          <w:sz w:val="28"/>
        </w:rPr>
        <w:t xml:space="preserve"> </w:t>
      </w:r>
      <w:r w:rsidRPr="00E37003">
        <w:rPr>
          <w:rFonts w:ascii="Arial" w:hAnsi="Arial" w:cs="Arial"/>
          <w:sz w:val="24"/>
        </w:rPr>
        <w:t xml:space="preserve">una interpretación, es el establecimiento de una ley </w:t>
      </w:r>
      <w:r w:rsidR="00567B45">
        <w:rPr>
          <w:rFonts w:ascii="Arial" w:hAnsi="Arial" w:cs="Arial"/>
          <w:sz w:val="24"/>
        </w:rPr>
        <w:t xml:space="preserve">nueva con efectos retroactivos). </w:t>
      </w:r>
      <w:r w:rsidRPr="00E37003">
        <w:rPr>
          <w:rFonts w:ascii="Arial" w:hAnsi="Arial" w:cs="Arial"/>
          <w:sz w:val="24"/>
        </w:rPr>
        <w:t>Y Ia interpretació</w:t>
      </w:r>
      <w:r w:rsidR="00567B45">
        <w:rPr>
          <w:rFonts w:ascii="Arial" w:hAnsi="Arial" w:cs="Arial"/>
          <w:sz w:val="24"/>
        </w:rPr>
        <w:t>n usual, añade, sobre todo en el</w:t>
      </w:r>
      <w:r w:rsidR="00567B45" w:rsidRPr="00E37003">
        <w:rPr>
          <w:rFonts w:ascii="Arial" w:hAnsi="Arial" w:cs="Arial"/>
          <w:sz w:val="24"/>
        </w:rPr>
        <w:t xml:space="preserve"> sentido</w:t>
      </w:r>
      <w:r w:rsidRPr="00E37003">
        <w:rPr>
          <w:rFonts w:ascii="Arial" w:hAnsi="Arial" w:cs="Arial"/>
          <w:sz w:val="24"/>
        </w:rPr>
        <w:t xml:space="preserve"> de interpretación judicial, no puede </w:t>
      </w:r>
      <w:r w:rsidRPr="00E37003">
        <w:rPr>
          <w:rFonts w:ascii="Arial" w:hAnsi="Arial" w:cs="Arial"/>
          <w:sz w:val="24"/>
        </w:rPr>
        <w:lastRenderedPageBreak/>
        <w:t xml:space="preserve">distinguirse en nada de Ia doctrinal o científica, puesto que también ella ha de ser científica. En </w:t>
      </w:r>
      <w:r w:rsidR="00567B45" w:rsidRPr="00E37003">
        <w:rPr>
          <w:rFonts w:ascii="Arial" w:hAnsi="Arial" w:cs="Arial"/>
          <w:sz w:val="24"/>
        </w:rPr>
        <w:t>contra</w:t>
      </w:r>
      <w:r w:rsidRPr="00E37003">
        <w:rPr>
          <w:rFonts w:ascii="Arial" w:hAnsi="Arial" w:cs="Arial"/>
          <w:sz w:val="24"/>
        </w:rPr>
        <w:t xml:space="preserve"> de Ia primera afirmación observamos que nadie mejor que el autor de Ia ley está facultado para revelarnos su sentido más genuino, y esto mediante una operación, tan lógica y tan ci</w:t>
      </w:r>
      <w:r w:rsidR="00567B45">
        <w:rPr>
          <w:rFonts w:ascii="Arial" w:hAnsi="Arial" w:cs="Arial"/>
          <w:sz w:val="24"/>
        </w:rPr>
        <w:t>entífica como Ia que puede real</w:t>
      </w:r>
      <w:r w:rsidRPr="00E37003">
        <w:rPr>
          <w:rFonts w:ascii="Arial" w:hAnsi="Arial" w:cs="Arial"/>
          <w:sz w:val="24"/>
        </w:rPr>
        <w:t>izar el intérprete particular.</w:t>
      </w:r>
    </w:p>
    <w:p w:rsidR="00CD5237" w:rsidRDefault="00CD5237" w:rsidP="00567B45">
      <w:pPr>
        <w:spacing w:line="360" w:lineRule="auto"/>
        <w:jc w:val="both"/>
        <w:rPr>
          <w:rFonts w:ascii="Arial" w:hAnsi="Arial" w:cs="Arial"/>
          <w:sz w:val="24"/>
        </w:rPr>
      </w:pPr>
    </w:p>
    <w:p w:rsidR="00CD5237" w:rsidRDefault="00CD5237" w:rsidP="00567B45">
      <w:pPr>
        <w:spacing w:line="360" w:lineRule="auto"/>
        <w:jc w:val="both"/>
        <w:rPr>
          <w:rFonts w:ascii="Arial" w:hAnsi="Arial" w:cs="Arial"/>
          <w:sz w:val="24"/>
        </w:rPr>
      </w:pPr>
    </w:p>
    <w:p w:rsidR="00CD5237" w:rsidRDefault="00CD5237" w:rsidP="00567B45">
      <w:pPr>
        <w:spacing w:line="360" w:lineRule="auto"/>
        <w:jc w:val="both"/>
        <w:rPr>
          <w:rFonts w:ascii="Arial" w:hAnsi="Arial" w:cs="Arial"/>
          <w:sz w:val="24"/>
        </w:rPr>
      </w:pPr>
    </w:p>
    <w:p w:rsidR="00CD5237" w:rsidRDefault="00CD5237" w:rsidP="00CD5237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CD5237">
        <w:rPr>
          <w:rFonts w:ascii="Arial" w:hAnsi="Arial" w:cs="Arial"/>
          <w:b/>
          <w:sz w:val="24"/>
        </w:rPr>
        <w:t>REFERENCIAS BIBLIOGRAFICAS</w:t>
      </w:r>
    </w:p>
    <w:p w:rsidR="00CD5237" w:rsidRDefault="00CD5237" w:rsidP="0030079B">
      <w:pPr>
        <w:spacing w:line="276" w:lineRule="auto"/>
      </w:pPr>
      <w:r w:rsidRPr="00CD5237">
        <w:rPr>
          <w:b/>
        </w:rPr>
        <w:t>ILARGI OLAIZ SOTO</w:t>
      </w:r>
      <w:r w:rsidRPr="00CD5237">
        <w:rPr>
          <w:b/>
        </w:rPr>
        <w:t>.</w:t>
      </w:r>
      <w:r>
        <w:t xml:space="preserve"> </w:t>
      </w:r>
      <w:r>
        <w:t>Subjetividad en las prácticas de interpretación del arte. Algunas narrativas visuales para una comprensión crítica de la Historia del Arte</w:t>
      </w:r>
      <w:r>
        <w:t xml:space="preserve">. </w:t>
      </w:r>
      <w:r w:rsidRPr="0030079B">
        <w:rPr>
          <w:i/>
        </w:rPr>
        <w:t>Instituto Promoción Estudios Sociales, Pamplona, España</w:t>
      </w:r>
      <w:r w:rsidR="0030079B">
        <w:rPr>
          <w:i/>
        </w:rPr>
        <w:t xml:space="preserve">, </w:t>
      </w:r>
      <w:r w:rsidR="0030079B">
        <w:t>(ISSN: 1681-5653)</w:t>
      </w:r>
      <w:r w:rsidR="0030079B">
        <w:t xml:space="preserve">. </w:t>
      </w:r>
      <w:r w:rsidR="0030079B">
        <w:t>n.º 52/3 – 10/04/10 Organización de Estados Iberoamericanos para la Educación, la Ciencia y la Cultura (OEI)</w:t>
      </w:r>
    </w:p>
    <w:p w:rsidR="0030079B" w:rsidRDefault="0030079B" w:rsidP="00CD5237">
      <w:pPr>
        <w:spacing w:line="360" w:lineRule="auto"/>
        <w:rPr>
          <w:rFonts w:ascii="Arial" w:hAnsi="Arial" w:cs="Arial"/>
          <w:i/>
          <w:sz w:val="24"/>
        </w:rPr>
      </w:pPr>
      <w:hyperlink r:id="rId5" w:history="1">
        <w:r w:rsidRPr="0030079B">
          <w:rPr>
            <w:rStyle w:val="Hipervnculo"/>
            <w:rFonts w:ascii="Arial" w:hAnsi="Arial" w:cs="Arial"/>
            <w:i/>
            <w:sz w:val="24"/>
          </w:rPr>
          <w:t>https://rieoei.org/historico/expe/3577Olaiz.pdf</w:t>
        </w:r>
      </w:hyperlink>
      <w:bookmarkStart w:id="0" w:name="_GoBack"/>
      <w:bookmarkEnd w:id="0"/>
    </w:p>
    <w:p w:rsidR="0030079B" w:rsidRPr="0030079B" w:rsidRDefault="0030079B" w:rsidP="0030079B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Arial" w:hAnsi="Arial" w:cs="Arial"/>
          <w:color w:val="000000" w:themeColor="text1"/>
        </w:rPr>
      </w:pPr>
      <w:r>
        <w:t>MARCELINO CABREROS DE ANTA, la interpretación subjetiva de la ley, Las operaciones de Ia ciencia jurídica. Universidad Pontificia de Salamanca.</w:t>
      </w:r>
    </w:p>
    <w:p w:rsidR="0030079B" w:rsidRDefault="0030079B" w:rsidP="00CD5237">
      <w:pPr>
        <w:spacing w:line="360" w:lineRule="auto"/>
        <w:rPr>
          <w:rFonts w:ascii="Arial" w:hAnsi="Arial" w:cs="Arial"/>
          <w:i/>
          <w:sz w:val="24"/>
        </w:rPr>
      </w:pPr>
      <w:hyperlink r:id="rId6" w:history="1">
        <w:r w:rsidRPr="001C4E41">
          <w:rPr>
            <w:rStyle w:val="Hipervnculo"/>
            <w:rFonts w:ascii="Arial" w:hAnsi="Arial" w:cs="Arial"/>
            <w:i/>
            <w:sz w:val="24"/>
          </w:rPr>
          <w:t>https://summa.upsa.es/high.raw?id=0000004037&amp;name=00000001.original.pdf</w:t>
        </w:r>
      </w:hyperlink>
    </w:p>
    <w:p w:rsidR="0030079B" w:rsidRDefault="0030079B" w:rsidP="00CD5237">
      <w:pPr>
        <w:spacing w:line="360" w:lineRule="auto"/>
        <w:rPr>
          <w:rFonts w:ascii="Arial" w:hAnsi="Arial" w:cs="Arial"/>
          <w:i/>
          <w:sz w:val="24"/>
        </w:rPr>
      </w:pPr>
      <w:hyperlink r:id="rId7" w:history="1">
        <w:r w:rsidRPr="001C4E41">
          <w:rPr>
            <w:rStyle w:val="Hipervnculo"/>
            <w:rFonts w:ascii="Arial" w:hAnsi="Arial" w:cs="Arial"/>
            <w:i/>
            <w:sz w:val="24"/>
          </w:rPr>
          <w:t>https://prezi.com/qm9qijgfejrd/sistemas-de-representacion-objetiva/#:~:text=Son%20procedimientos%20que%20nos%20permiten,nombre%20de%20diedro%20o%20cuadrante</w:t>
        </w:r>
      </w:hyperlink>
      <w:r w:rsidRPr="0030079B">
        <w:rPr>
          <w:rFonts w:ascii="Arial" w:hAnsi="Arial" w:cs="Arial"/>
          <w:i/>
          <w:sz w:val="24"/>
        </w:rPr>
        <w:t>.</w:t>
      </w:r>
    </w:p>
    <w:p w:rsidR="0030079B" w:rsidRPr="0030079B" w:rsidRDefault="0030079B" w:rsidP="00CD5237">
      <w:pPr>
        <w:spacing w:line="360" w:lineRule="auto"/>
        <w:rPr>
          <w:rFonts w:ascii="Arial" w:hAnsi="Arial" w:cs="Arial"/>
          <w:i/>
          <w:sz w:val="24"/>
        </w:rPr>
      </w:pPr>
    </w:p>
    <w:p w:rsidR="0030079B" w:rsidRPr="0030079B" w:rsidRDefault="0030079B" w:rsidP="00CD5237">
      <w:pPr>
        <w:spacing w:line="360" w:lineRule="auto"/>
        <w:rPr>
          <w:rFonts w:ascii="Arial" w:hAnsi="Arial" w:cs="Arial"/>
          <w:i/>
          <w:sz w:val="36"/>
        </w:rPr>
      </w:pPr>
    </w:p>
    <w:sectPr w:rsidR="0030079B" w:rsidRPr="0030079B" w:rsidSect="00707244">
      <w:pgSz w:w="12240" w:h="15840"/>
      <w:pgMar w:top="1417" w:right="1701" w:bottom="1417" w:left="1701" w:header="708" w:footer="708" w:gutter="0"/>
      <w:pgBorders w:offsetFrom="page">
        <w:top w:val="dashSmallGap" w:sz="8" w:space="24" w:color="C00000"/>
        <w:left w:val="dashSmallGap" w:sz="8" w:space="24" w:color="C00000"/>
        <w:bottom w:val="dashSmallGap" w:sz="8" w:space="24" w:color="C00000"/>
        <w:right w:val="dashSmallGap" w:sz="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943"/>
    <w:rsid w:val="00095D17"/>
    <w:rsid w:val="002D6943"/>
    <w:rsid w:val="0030079B"/>
    <w:rsid w:val="00565866"/>
    <w:rsid w:val="00567B45"/>
    <w:rsid w:val="00707244"/>
    <w:rsid w:val="00C13BFD"/>
    <w:rsid w:val="00CD5237"/>
    <w:rsid w:val="00E37003"/>
    <w:rsid w:val="00F2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39545"/>
  <w15:chartTrackingRefBased/>
  <w15:docId w15:val="{73C3510A-7149-4EDD-B367-2B4A45316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94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0079B"/>
    <w:rPr>
      <w:color w:val="0563C1" w:themeColor="hyperlink"/>
      <w:u w:val="single"/>
    </w:rPr>
  </w:style>
  <w:style w:type="paragraph" w:customStyle="1" w:styleId="transcripttextparagraph-sc-1jllhx4-1">
    <w:name w:val="transcripttext__paragraph-sc-1jllhx4-1"/>
    <w:basedOn w:val="Normal"/>
    <w:rsid w:val="00300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ezi.com/qm9qijgfejrd/sistemas-de-representacion-objetiva/#:~:text=Son%20procedimientos%20que%20nos%20permiten,nombre%20de%20diedro%20o%20cuadrant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mma.upsa.es/high.raw?id=0000004037&amp;name=00000001.original.pdf" TargetMode="External"/><Relationship Id="rId5" Type="http://schemas.openxmlformats.org/officeDocument/2006/relationships/hyperlink" Target="https://rieoei.org/historico/expe/3577Olaiz.pdf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604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guerrero sanchez</dc:creator>
  <cp:keywords/>
  <dc:description/>
  <cp:lastModifiedBy>paulina guerrero sanchez</cp:lastModifiedBy>
  <cp:revision>1</cp:revision>
  <dcterms:created xsi:type="dcterms:W3CDTF">2021-03-28T03:12:00Z</dcterms:created>
  <dcterms:modified xsi:type="dcterms:W3CDTF">2021-03-28T05:12:00Z</dcterms:modified>
</cp:coreProperties>
</file>