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0" distT="0" distL="0" distR="0">
            <wp:extent cx="1895475" cy="1409700"/>
            <wp:effectExtent b="0" l="0" r="0" t="0"/>
            <wp:docPr descr="http://187.160.244.18/sistema/Data/tareas/enep-00041/_Logos/escudo.jpg" id="1" name="image1.jpg"/>
            <a:graphic>
              <a:graphicData uri="http://schemas.openxmlformats.org/drawingml/2006/picture">
                <pic:pic>
                  <pic:nvPicPr>
                    <pic:cNvPr descr="http://187.160.244.18/sistema/Data/tareas/enep-00041/_Logos/escud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Materia: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Artes visuales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Silvia Erika Sagahon Solís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 de aprendizaje 1: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Lo que sabemos de las artes visuales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 de la unidad de aprendizaje: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Detecta los procesos de aprendizaje de sus alumnos para favorecer su desarrollo cognitivo y socioemocional.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Integra recursos de la investigación educativa para enriquecer su práctica profesional expresando su interés por el conocimiento, la ciencia y la mejora de la educación.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Qué es la representación objetiva e interpretación subjetiva de los objetos de la realidad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Alumna: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Midori Karely Arias Sosa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N.L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01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Sexto semestre Sección A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Saltillo, Coahuila 26 de marzo de 2021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Representación objetiva: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 refiere a plasmar un objeto y darle un sentido o un significado, es decir, plantear la experiencia estética de la creación en toda su complejidad hay que entender la naturaleza de los elementos que participan en la experiencia estética (artista, obra y espectador) y la naturaleza de la propia experiencia estética.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Existen 3 líneas para la representación objetiva: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La materialista, que afirma la existencia del mundo objetivo.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La filosófica trascendental, en la cual el mundo (objeto) se logra conocer a través del sujeto.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La vivencial, que se plantea para llegar al objetivo de las cosas se debe de sumergir en las vivencias de uno mismo.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Interpretación subjetiva: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describe como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identidad de cada obra está asociada a su autor, e interpretada de distintas formas por el destinatario, público o espectador.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612130" cy="3384816"/>
            <wp:effectExtent b="0" l="0" r="0" t="0"/>
            <wp:docPr descr="Pin de marcelo en artes | Imagenes de artes plasticas, Imagenes de arte,  Arte" id="2" name="image2.jpg"/>
            <a:graphic>
              <a:graphicData uri="http://schemas.openxmlformats.org/drawingml/2006/picture">
                <pic:pic>
                  <pic:nvPicPr>
                    <pic:cNvPr descr="Pin de marcelo en artes | Imagenes de artes plasticas, Imagenes de arte,  Art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48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Referencias bibliográficas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subjetividad en el arte y en la construcción del artista. El peso de quién lo mira fue publicado de la página 29 a página30 en Escritos en la Facultad Nº138. RECUPERADO DE: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https://fido.palermo.edu/servicios_dyc/publicacionesdc/vista/detalle_articulo.php?id_libro=693&amp;id_articulo=14714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Ortega, M. (2017). El concepto de objetividad de la obra de arte. El objetivismo bipolar de Jorge Oteiza. Universidad Complutense de Madrid.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fido.palermo.edu/servicios_dyc/publicacionesdc/vista/detalle_articulo.php?id_libro=693&amp;id_articulo=14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