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Escuela Normal De Educación Preescolar</w:t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Licenciatura en educación preescolar </w:t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Sexto semestre </w:t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Ciclo escolar </w:t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2020-2021</w:t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jc w:val="center"/>
        <w:rPr>
          <w:sz w:val="24"/>
          <w:szCs w:val="24"/>
        </w:rPr>
      </w:pPr>
      <w:r w:rsidDel="00000000" w:rsidR="00000000" w:rsidRPr="00000000">
        <w:drawing>
          <wp:inline distB="0" distT="0" distL="0" distR="0">
            <wp:extent cx="895742" cy="1189304"/>
            <wp:effectExtent b="0" l="0" r="0" t="0"/>
            <wp:docPr descr="Imagen que contiene señal  Descripción generada automáticamente" id="4" name="image4.png"/>
            <a:graphic>
              <a:graphicData uri="http://schemas.openxmlformats.org/drawingml/2006/picture">
                <pic:pic>
                  <pic:nvPicPr>
                    <pic:cNvPr descr="Imagen que contiene señal  Descripción generada automáticamente" id="0" name="image4.png"/>
                    <pic:cNvPicPr preferRelativeResize="0"/>
                  </pic:nvPicPr>
                  <pic:blipFill>
                    <a:blip r:embed="rId6"/>
                    <a:srcRect b="16445" l="24444" r="22666" t="13332"/>
                    <a:stretch>
                      <a:fillRect/>
                    </a:stretch>
                  </pic:blipFill>
                  <pic:spPr>
                    <a:xfrm>
                      <a:off x="0" y="0"/>
                      <a:ext cx="895742" cy="11893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Curso.</w:t>
      </w:r>
      <w:r w:rsidDel="00000000" w:rsidR="00000000" w:rsidRPr="00000000">
        <w:rPr>
          <w:sz w:val="24"/>
          <w:szCs w:val="24"/>
          <w:rtl w:val="0"/>
        </w:rPr>
        <w:t xml:space="preserve"> Bases legales y normativas de la educación básica.</w:t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Titular.</w:t>
      </w:r>
      <w:r w:rsidDel="00000000" w:rsidR="00000000" w:rsidRPr="00000000">
        <w:rPr>
          <w:sz w:val="24"/>
          <w:szCs w:val="24"/>
          <w:rtl w:val="0"/>
        </w:rPr>
        <w:t xml:space="preserve"> Arturo Flores Rodríguez </w:t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 1.</w:t>
      </w:r>
      <w:r w:rsidDel="00000000" w:rsidR="00000000" w:rsidRPr="00000000">
        <w:rPr>
          <w:sz w:val="24"/>
          <w:szCs w:val="24"/>
          <w:rtl w:val="0"/>
        </w:rPr>
        <w:t xml:space="preserve"> Reformas educativas Artículo 3°constitucional.</w:t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Unidad de aprendizaje I.</w:t>
      </w:r>
      <w:r w:rsidDel="00000000" w:rsidR="00000000" w:rsidRPr="00000000">
        <w:rPr>
          <w:sz w:val="24"/>
          <w:szCs w:val="24"/>
          <w:rtl w:val="0"/>
        </w:rPr>
        <w:t xml:space="preserve"> La Educación como derecho: Principios filosóficos, legales, normativos y éticos.</w:t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Competencias profesionales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after="0" w:before="0" w:line="36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Presentado por la alumna</w:t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Vannessa Jannette Solis Aldape #19</w:t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Grado y sección </w:t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3º B</w:t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line="36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Saltillo, Coah.                                                                                  29 de marzo del 2021</w:t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53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78"/>
        <w:gridCol w:w="3179"/>
        <w:gridCol w:w="3179"/>
        <w:tblGridChange w:id="0">
          <w:tblGrid>
            <w:gridCol w:w="3178"/>
            <w:gridCol w:w="3179"/>
            <w:gridCol w:w="3179"/>
          </w:tblGrid>
        </w:tblGridChange>
      </w:tblGrid>
      <w:tr>
        <w:tc>
          <w:tcPr>
            <w:gridSpan w:val="3"/>
            <w:shd w:fill="e2efd9"/>
          </w:tcPr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Reformas educativas Artículo 3° constitucional</w:t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highlight w:val="yellow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educación se basará en el respeto irrestricto de la dignidad de las personas, con un enfoque de derechos humanos y de igualdad sustantiva. Tenderá a desarrollar armónicamente todas las facultades del ser humano y fomentará en él, a la vez, el amor a la Patria, el respeto a todos los derechos, las libertades, la cultura de paz y la conciencia de la solidaridad internacional, en la independencia y en la justicia; promoverá la honestidad, los valores y la mejora continua del proceso de enseñanza aprendizaje. 10-06-2011. </w:t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5e0b3"/>
          </w:tcPr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Modificaciones realizadas al artículo.</w:t>
            </w:r>
          </w:p>
        </w:tc>
        <w:tc>
          <w:tcPr>
            <w:shd w:fill="c5e0b3"/>
          </w:tcPr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Principios que establece.</w:t>
            </w:r>
          </w:p>
        </w:tc>
        <w:tc>
          <w:tcPr>
            <w:shd w:fill="c5e0b3"/>
          </w:tcPr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Cuáles son sus principales aportes y en qué argumentos se sustentan.</w:t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Los principales cambios de la reforma son:</w:t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-La incorporación de todos los derechos humanos de los tratados internacionales como derechos constitucionales.</w:t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-La obligación de las autoridades de guiarse por el principio pro- persona cuando apliquen normas de derechos humanos, lo que significa que deben preferir la norma o la interpretación más favorable a la persona.</w:t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-La obligación para todas las autoridades, sin distinción alguna, de cumplir con cuatro obligaciones específicas: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Promover;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Respetar;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Proteger, y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Garantizar los derechos humanos.</w:t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La reforma incluyó también mandatos muy específicos sobre los que deben trabajar todas las autoridades:</w:t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-Incorporar en la educación a todos los niveles, los derechos humanos.</w:t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-Hacer prevalecer los derechos humanos en el sistema penitenciario mexicano.</w:t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-Colocar los derechos humanos como principio rector de la política exterior del país.</w:t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2011, integra a los fines de la educación el de fomentar “el respeto a los derechos humanos”</w:t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Igualdad de derechos humanos.</w:t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Proceso de enseñanza y aprendizaje igualitaria.</w:t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El amor a la patria.</w:t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Educación de calidad para cualquier ámbito educativo que se curse. </w:t>
            </w:r>
          </w:p>
        </w:tc>
        <w:tc>
          <w:tcPr/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La reforma de 2011: los derechos humanos y la educación</w:t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Artículo 3o. reformado:</w:t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La educación que imparta el Estado tenderá a desarrollar armónicamente, todas las facultades del ser humano y fomentará en él a la vez, el amor a la Patria, el respeto a los derechos humanos y la conciencia de la solidaridad internacional, en la independencia y en la justicia.</w:t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La modificación que realmente se introduce en esta párrafo segundo, consiste en la </w:t>
            </w:r>
            <w:r w:rsidDel="00000000" w:rsidR="00000000" w:rsidRPr="00000000">
              <w:rPr>
                <w:b w:val="1"/>
                <w:rtl w:val="0"/>
              </w:rPr>
              <w:t xml:space="preserve">expresión "el respeto a los derechos humanos"</w:t>
            </w:r>
            <w:r w:rsidDel="00000000" w:rsidR="00000000" w:rsidRPr="00000000">
              <w:rPr>
                <w:rtl w:val="0"/>
              </w:rPr>
              <w:t xml:space="preserve">, si el sentido de este párrafo es un mandato que estriba en establecer que la educación que imparta el Estado "instituciones públicas y privadas" tenderá a respetar los derechos humanos, el amor a la patria, la conciencia de la solidaridad y otros, lo que busca o pretende esta modificación es que se enseñe en los planes y programas educativos en preescolar, primaria y secundaria.</w:t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Es así como el sistema educativo mexicano tendrá la obligación y la responsabilidad de establecer en los planes, en los programas y en los textos educativos de preescolar, primaria, secundaria y bachiller sobre los derechos humanos y sus garantías.</w:t>
            </w:r>
          </w:p>
          <w:p w:rsidR="00000000" w:rsidDel="00000000" w:rsidP="00000000" w:rsidRDefault="00000000" w:rsidRPr="00000000">
            <w:pPr>
              <w:pBdr/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Bibliografía</w:t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http://www.diputados.gob.mx/LeyesBiblio/ref/cpeum_per.htm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http://www.ordenjuridico.gob.mx/Constitucion/1857.pdf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https://www.gob.mx/segob/articulos/por-que-la-reforma-constitucional-de-derechos-humanos-de-2011-cambio-la-forma-de-ver-la-relacion-entre-el-gobierno-y-la-sociedad?idiom=es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http://www.scielo.org.mx/scielo.php?script=sci_arttext&amp;pid=S1405-66662019000100287#:~:text=El%20art%C3%ADculo%203%C2%B0%20estableci%C3%B3,estatal%20sobre%20la%20educaci%C3%B3n%20privada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http://www.scielo.org.mx/scielo.php?script=sci_arttext&amp;pid=S1405-91932013000100007#:~:text=La%20educaci%C3%B3n%20que%20imparta%20el,independencia%20y%20en%20la%20justicia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650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  <w:sectPr>
          <w:pgSz w:h="12240" w:w="15840"/>
          <w:pgMar w:bottom="992" w:top="1701" w:left="1418" w:right="567" w:header="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-443229</wp:posOffset>
            </wp:positionH>
            <wp:positionV relativeFrom="paragraph">
              <wp:posOffset>-441959</wp:posOffset>
            </wp:positionV>
            <wp:extent cx="9124950" cy="5591175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24950" cy="5591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650"/>
        </w:tabs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sectPr>
      <w:type w:val="continuous"/>
      <w:pgSz w:h="12240" w:w="15840"/>
      <w:pgMar w:bottom="992" w:top="1701" w:left="1418" w:right="567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decimal"/>
      <w:lvlText w:val="%2."/>
      <w:lvlJc w:val="left"/>
      <w:pPr>
        <w:ind w:left="1440" w:firstLine="1080"/>
      </w:pPr>
      <w:rPr/>
    </w:lvl>
    <w:lvl w:ilvl="2">
      <w:start w:val="1"/>
      <w:numFmt w:val="decimal"/>
      <w:lvlText w:val="%3."/>
      <w:lvlJc w:val="left"/>
      <w:pPr>
        <w:ind w:left="2160" w:firstLine="180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decimal"/>
      <w:lvlText w:val="%5."/>
      <w:lvlJc w:val="left"/>
      <w:pPr>
        <w:ind w:left="3600" w:firstLine="3240"/>
      </w:pPr>
      <w:rPr/>
    </w:lvl>
    <w:lvl w:ilvl="5">
      <w:start w:val="1"/>
      <w:numFmt w:val="decimal"/>
      <w:lvlText w:val="%6."/>
      <w:lvlJc w:val="left"/>
      <w:pPr>
        <w:ind w:left="4320" w:firstLine="396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decimal"/>
      <w:lvlText w:val="%8."/>
      <w:lvlJc w:val="left"/>
      <w:pPr>
        <w:ind w:left="5760" w:firstLine="5400"/>
      </w:pPr>
      <w:rPr/>
    </w:lvl>
    <w:lvl w:ilvl="8">
      <w:start w:val="1"/>
      <w:numFmt w:val="decimal"/>
      <w:lvlText w:val="%9."/>
      <w:lvlJc w:val="left"/>
      <w:pPr>
        <w:ind w:left="6480" w:firstLine="612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  <w:qFormat w:val="1"/>
    <w:rsid w:val="00677DE9"/>
    <w:pPr>
      <w:spacing w:after="0" w:line="240" w:lineRule="auto"/>
    </w:pPr>
    <w:rPr>
      <w:rFonts w:ascii="Arial" w:cs="Arial" w:eastAsia="Times New Roman" w:hAnsi="Arial"/>
      <w:szCs w:val="24"/>
      <w:lang w:eastAsia="es-ES" w:val="es-ES_tradnl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E91B19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C049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C049BF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2F6C2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scielo.org.mx/scielo.php?script=sci_arttext&amp;pid=S1405-91932013000100007#:~:text=La%20educaci%C3%B3n%20que%20imparta%20el,independencia%20y%20en%20la%20justicia" TargetMode="External"/><Relationship Id="rId10" Type="http://schemas.openxmlformats.org/officeDocument/2006/relationships/hyperlink" Target="http://www.scielo.org.mx/scielo.php?script=sci_arttext&amp;pid=S1405-66662019000100287#:~:text=El%20art%C3%ADculo%203%C2%B0%20estableci%C3%B3,estatal%20sobre%20la%20educaci%C3%B3n%20privada" TargetMode="External"/><Relationship Id="rId12" Type="http://schemas.openxmlformats.org/officeDocument/2006/relationships/image" Target="media/image3.png"/><Relationship Id="rId9" Type="http://schemas.openxmlformats.org/officeDocument/2006/relationships/hyperlink" Target="https://www.gob.mx/segob/articulos/por-que-la-reforma-constitucional-de-derechos-humanos-de-2011-cambio-la-forma-de-ver-la-relacion-entre-el-gobierno-y-la-sociedad?idiom=es" TargetMode="Externa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yperlink" Target="http://www.diputados.gob.mx/LeyesBiblio/ref/cpeum_per.htm" TargetMode="External"/><Relationship Id="rId8" Type="http://schemas.openxmlformats.org/officeDocument/2006/relationships/hyperlink" Target="http://www.ordenjuridico.gob.mx/Constitucion/1857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