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B898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CD76B45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F3B1DEA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9F790C6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9ABA9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A093D2" wp14:editId="0353C33F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A0B61D" w14:textId="2E20C9BF" w:rsidR="00665324" w:rsidRDefault="00665324" w:rsidP="00665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PRACTICAS SOCIALES DE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093D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0A0B61D" w14:textId="2E20C9BF" w:rsidR="00665324" w:rsidRDefault="00665324" w:rsidP="006653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PRACTICAS SOCIALES DE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BBB40EB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65EFF" w14:textId="77777777" w:rsidR="00665324" w:rsidRDefault="00665324" w:rsidP="00665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4673E7F" w14:textId="77777777" w:rsidR="00665324" w:rsidRDefault="00665324" w:rsidP="00665324">
      <w:pPr>
        <w:rPr>
          <w:rFonts w:ascii="Times New Roman" w:hAnsi="Times New Roman" w:cs="Times New Roman"/>
          <w:b/>
          <w:sz w:val="28"/>
        </w:rPr>
      </w:pPr>
    </w:p>
    <w:p w14:paraId="27D54A28" w14:textId="77777777" w:rsidR="00665324" w:rsidRDefault="00665324" w:rsidP="00665324">
      <w:pPr>
        <w:rPr>
          <w:rFonts w:ascii="Times New Roman" w:hAnsi="Times New Roman" w:cs="Times New Roman"/>
          <w:b/>
          <w:sz w:val="28"/>
        </w:rPr>
      </w:pPr>
    </w:p>
    <w:p w14:paraId="3C8AA6F7" w14:textId="77777777" w:rsidR="00665324" w:rsidRDefault="00665324" w:rsidP="00665324">
      <w:pPr>
        <w:rPr>
          <w:rFonts w:ascii="Times New Roman" w:hAnsi="Times New Roman" w:cs="Times New Roman"/>
          <w:b/>
          <w:sz w:val="28"/>
        </w:rPr>
      </w:pPr>
    </w:p>
    <w:p w14:paraId="2E3421AE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Lucero de Lourdes García Vela  </w:t>
      </w:r>
    </w:p>
    <w:p w14:paraId="20FCE2C9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4F2F1" w14:textId="25A3F6A2" w:rsidR="00665324" w:rsidRPr="00B147D6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2D434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1 C</w:t>
      </w:r>
    </w:p>
    <w:p w14:paraId="0D38CAB1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4922F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90385" w14:textId="7D041AFC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TEXTO AUTOREFLEXIVO - EVIDENCIA UNIDAD 1</w:t>
      </w:r>
    </w:p>
    <w:p w14:paraId="1678D51E" w14:textId="77777777" w:rsidR="00665324" w:rsidRDefault="00665324" w:rsidP="00665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8DDEE" w14:textId="77777777" w:rsidR="00665324" w:rsidRDefault="00665324" w:rsidP="00665324">
      <w:pPr>
        <w:rPr>
          <w:rFonts w:ascii="Times New Roman" w:hAnsi="Times New Roman" w:cs="Times New Roman"/>
          <w:sz w:val="36"/>
          <w:szCs w:val="36"/>
        </w:rPr>
      </w:pPr>
    </w:p>
    <w:p w14:paraId="48E6DC36" w14:textId="53977BCE" w:rsidR="00665324" w:rsidRPr="00665324" w:rsidRDefault="00665324" w:rsidP="00665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32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8"/>
        </w:rPr>
        <w:t>María Ele</w:t>
      </w:r>
      <w:r w:rsidR="002D434F">
        <w:rPr>
          <w:rFonts w:ascii="Times New Roman" w:hAnsi="Times New Roman" w:cs="Times New Roman"/>
          <w:b/>
          <w:bCs/>
          <w:sz w:val="28"/>
          <w:szCs w:val="28"/>
        </w:rPr>
        <w:t>na Villarreal Marquez</w:t>
      </w:r>
    </w:p>
    <w:p w14:paraId="5B9ADAE8" w14:textId="77777777" w:rsidR="00665324" w:rsidRDefault="00665324" w:rsidP="00665324">
      <w:pPr>
        <w:rPr>
          <w:rFonts w:ascii="Times New Roman" w:hAnsi="Times New Roman" w:cs="Times New Roman"/>
          <w:sz w:val="24"/>
          <w:szCs w:val="24"/>
        </w:rPr>
      </w:pPr>
    </w:p>
    <w:p w14:paraId="5ECCE792" w14:textId="77777777" w:rsidR="00665324" w:rsidRDefault="00665324" w:rsidP="00665324">
      <w:pPr>
        <w:rPr>
          <w:rFonts w:ascii="Times New Roman" w:hAnsi="Times New Roman" w:cs="Times New Roman"/>
          <w:sz w:val="24"/>
          <w:szCs w:val="24"/>
        </w:rPr>
      </w:pPr>
    </w:p>
    <w:p w14:paraId="75DCBE74" w14:textId="77777777" w:rsidR="00665324" w:rsidRDefault="00665324" w:rsidP="00665324">
      <w:pPr>
        <w:rPr>
          <w:rFonts w:ascii="Times New Roman" w:hAnsi="Times New Roman" w:cs="Times New Roman"/>
          <w:sz w:val="24"/>
          <w:szCs w:val="24"/>
        </w:rPr>
      </w:pPr>
    </w:p>
    <w:p w14:paraId="30834FFE" w14:textId="173F0309" w:rsidR="00665324" w:rsidRDefault="002D434F" w:rsidP="00665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Miércoles 21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2021. Saltillo, Coahuila.</w:t>
      </w:r>
    </w:p>
    <w:p w14:paraId="67642458" w14:textId="07D32707" w:rsidR="00254317" w:rsidRDefault="00254317" w:rsidP="00665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6B722" w14:textId="31C8A6BC" w:rsidR="00254317" w:rsidRDefault="0030290A" w:rsidP="00665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B373AF" w14:textId="44ADF1EE" w:rsidR="0026645B" w:rsidRPr="0026645B" w:rsidRDefault="0026645B" w:rsidP="00225EAC">
      <w:pPr>
        <w:spacing w:line="360" w:lineRule="auto"/>
        <w:rPr>
          <w:rFonts w:ascii="Century Gothic" w:hAnsi="Century Gothic" w:cs="Times New Roman"/>
          <w:b/>
          <w:bCs/>
          <w:sz w:val="28"/>
          <w:szCs w:val="28"/>
        </w:rPr>
      </w:pPr>
      <w:r w:rsidRPr="0026645B">
        <w:rPr>
          <w:rFonts w:ascii="Century Gothic" w:hAnsi="Century Gothic" w:cs="Times New Roman"/>
          <w:b/>
          <w:bCs/>
          <w:sz w:val="28"/>
          <w:szCs w:val="28"/>
        </w:rPr>
        <w:lastRenderedPageBreak/>
        <w:t>LAS PRACTICAS SOCIALES DE LENGUAJE</w:t>
      </w:r>
    </w:p>
    <w:p w14:paraId="11ABB2E3" w14:textId="7BDDC3F4" w:rsidR="00291BF5" w:rsidRDefault="00254317" w:rsidP="00225EAC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Los seres humanos por naturaleza somos seres sociales por lo que es necesario comunicarnos entre nosotros por lo que usamos el lenguaje para esto, </w:t>
      </w:r>
      <w:r w:rsidR="00474214">
        <w:rPr>
          <w:rFonts w:ascii="Century Gothic" w:hAnsi="Century Gothic" w:cs="Times New Roman"/>
          <w:sz w:val="24"/>
          <w:szCs w:val="24"/>
        </w:rPr>
        <w:t xml:space="preserve">por lo tanto, </w:t>
      </w:r>
      <w:r>
        <w:rPr>
          <w:rFonts w:ascii="Century Gothic" w:hAnsi="Century Gothic" w:cs="Times New Roman"/>
          <w:sz w:val="24"/>
          <w:szCs w:val="24"/>
        </w:rPr>
        <w:t>las practicas sociales son las</w:t>
      </w:r>
      <w:r w:rsidR="0030290A">
        <w:rPr>
          <w:rFonts w:ascii="Century Gothic" w:hAnsi="Century Gothic" w:cs="Times New Roman"/>
          <w:sz w:val="24"/>
          <w:szCs w:val="24"/>
        </w:rPr>
        <w:t xml:space="preserve"> diversas situaciones donde hacemos uso del lenguaje con otras personas, ya se de manera escrita, oral o mixta bajo diferentes contextos. El lenguaje lo usamos todo el tiempo en nuestro día a día incluso si no nos damos cuenta o lo hacemos involuntariamente</w:t>
      </w:r>
      <w:r w:rsidR="00474214">
        <w:rPr>
          <w:rFonts w:ascii="Century Gothic" w:hAnsi="Century Gothic" w:cs="Times New Roman"/>
          <w:sz w:val="24"/>
          <w:szCs w:val="24"/>
        </w:rPr>
        <w:t xml:space="preserve"> como enviar un mensaje, hablar con amigos o simplemente saludar a alguien, </w:t>
      </w:r>
      <w:r w:rsidR="0030290A">
        <w:rPr>
          <w:rFonts w:ascii="Century Gothic" w:hAnsi="Century Gothic" w:cs="Times New Roman"/>
          <w:sz w:val="24"/>
          <w:szCs w:val="24"/>
        </w:rPr>
        <w:t xml:space="preserve">ya que es algo tan común que se nos olvida que lo estamos llevando a cabo, sin </w:t>
      </w:r>
      <w:r w:rsidR="00474214">
        <w:rPr>
          <w:rFonts w:ascii="Century Gothic" w:hAnsi="Century Gothic" w:cs="Times New Roman"/>
          <w:sz w:val="24"/>
          <w:szCs w:val="24"/>
        </w:rPr>
        <w:t>embargo,</w:t>
      </w:r>
      <w:r w:rsidR="0030290A">
        <w:rPr>
          <w:rFonts w:ascii="Century Gothic" w:hAnsi="Century Gothic" w:cs="Times New Roman"/>
          <w:sz w:val="24"/>
          <w:szCs w:val="24"/>
        </w:rPr>
        <w:t xml:space="preserve"> no por eso pierde su impor</w:t>
      </w:r>
      <w:r w:rsidR="00474214">
        <w:rPr>
          <w:rFonts w:ascii="Century Gothic" w:hAnsi="Century Gothic" w:cs="Times New Roman"/>
          <w:sz w:val="24"/>
          <w:szCs w:val="24"/>
        </w:rPr>
        <w:t xml:space="preserve">tancia y la relevancia de comunicarnos de manera correcta con las demás personas, sino que como cultura general debemos de saber leer, escribir y hablar eficientemente para lograr </w:t>
      </w:r>
      <w:r w:rsidR="00291BF5">
        <w:rPr>
          <w:rFonts w:ascii="Century Gothic" w:hAnsi="Century Gothic" w:cs="Times New Roman"/>
          <w:sz w:val="24"/>
          <w:szCs w:val="24"/>
        </w:rPr>
        <w:t>el objetivo del comunicado.</w:t>
      </w:r>
    </w:p>
    <w:p w14:paraId="429AFFA5" w14:textId="47374DFB" w:rsidR="00225EAC" w:rsidRDefault="00C36A2C" w:rsidP="00570927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“La escritura es importante en la escuela porque es importante fuera de ella, y no al revés” </w:t>
      </w:r>
      <w:sdt>
        <w:sdtPr>
          <w:rPr>
            <w:rFonts w:ascii="Century Gothic" w:hAnsi="Century Gothic" w:cs="Times New Roman"/>
            <w:sz w:val="24"/>
            <w:szCs w:val="24"/>
          </w:rPr>
          <w:id w:val="6794848"/>
          <w:citation/>
        </w:sdtPr>
        <w:sdtContent>
          <w:r>
            <w:rPr>
              <w:rFonts w:ascii="Century Gothic" w:hAnsi="Century Gothic" w:cs="Times New Roman"/>
              <w:sz w:val="24"/>
              <w:szCs w:val="24"/>
            </w:rPr>
            <w:fldChar w:fldCharType="begin"/>
          </w:r>
          <w:r>
            <w:rPr>
              <w:rFonts w:ascii="Century Gothic" w:hAnsi="Century Gothic" w:cs="Times New Roman"/>
              <w:sz w:val="24"/>
              <w:szCs w:val="24"/>
            </w:rPr>
            <w:instrText xml:space="preserve"> CITATION Fer98 \l 2058 </w:instrText>
          </w:r>
          <w:r>
            <w:rPr>
              <w:rFonts w:ascii="Century Gothic" w:hAnsi="Century Gothic" w:cs="Times New Roman"/>
              <w:sz w:val="24"/>
              <w:szCs w:val="24"/>
            </w:rPr>
            <w:fldChar w:fldCharType="separate"/>
          </w:r>
          <w:r w:rsidRPr="00C36A2C">
            <w:rPr>
              <w:rFonts w:ascii="Century Gothic" w:hAnsi="Century Gothic" w:cs="Times New Roman"/>
              <w:noProof/>
              <w:sz w:val="24"/>
              <w:szCs w:val="24"/>
            </w:rPr>
            <w:t>(Ferreiro, 1998)</w:t>
          </w:r>
          <w:r>
            <w:rPr>
              <w:rFonts w:ascii="Century Gothic" w:hAnsi="Century Gothic" w:cs="Times New Roman"/>
              <w:sz w:val="24"/>
              <w:szCs w:val="24"/>
            </w:rPr>
            <w:fldChar w:fldCharType="end"/>
          </w:r>
        </w:sdtContent>
      </w:sdt>
      <w:r>
        <w:rPr>
          <w:rFonts w:ascii="Century Gothic" w:hAnsi="Century Gothic" w:cs="Times New Roman"/>
          <w:sz w:val="24"/>
          <w:szCs w:val="24"/>
        </w:rPr>
        <w:t xml:space="preserve">. </w:t>
      </w:r>
      <w:r w:rsidR="00291BF5">
        <w:rPr>
          <w:rFonts w:ascii="Century Gothic" w:hAnsi="Century Gothic" w:cs="Times New Roman"/>
          <w:sz w:val="24"/>
          <w:szCs w:val="24"/>
        </w:rPr>
        <w:t xml:space="preserve">Desde pequeños empezamos a comunicarnos por imitación de los sonidos de las palabras que escuchamos de nuestros padres o familiares, pero el verdadero aprendizaje del lenguaje en todos sus aspectos es dentro de la escuela iniciando por el preescolar </w:t>
      </w:r>
      <w:r w:rsidR="00225EAC">
        <w:rPr>
          <w:rFonts w:ascii="Century Gothic" w:hAnsi="Century Gothic" w:cs="Times New Roman"/>
          <w:sz w:val="24"/>
          <w:szCs w:val="24"/>
        </w:rPr>
        <w:t>donde se van a formar los cimientos para el desarrollo de su expresión lingüística</w:t>
      </w:r>
      <w:r>
        <w:rPr>
          <w:rFonts w:ascii="Century Gothic" w:hAnsi="Century Gothic" w:cs="Times New Roman"/>
          <w:sz w:val="24"/>
          <w:szCs w:val="24"/>
        </w:rPr>
        <w:t>;</w:t>
      </w:r>
      <w:r w:rsidRPr="00C36A2C">
        <w:t xml:space="preserve"> </w:t>
      </w:r>
      <w:r>
        <w:rPr>
          <w:rFonts w:ascii="Century Gothic" w:hAnsi="Century Gothic" w:cs="Times New Roman"/>
          <w:sz w:val="24"/>
          <w:szCs w:val="24"/>
        </w:rPr>
        <w:t>e</w:t>
      </w:r>
      <w:r w:rsidRPr="00C36A2C">
        <w:rPr>
          <w:rFonts w:ascii="Century Gothic" w:hAnsi="Century Gothic" w:cs="Times New Roman"/>
          <w:sz w:val="24"/>
          <w:szCs w:val="24"/>
        </w:rPr>
        <w:t>l sistema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 xml:space="preserve">escolar debe ser </w:t>
      </w:r>
      <w:r w:rsidRPr="00C36A2C">
        <w:rPr>
          <w:rFonts w:ascii="Century Gothic" w:hAnsi="Century Gothic" w:cs="Times New Roman"/>
          <w:sz w:val="24"/>
          <w:szCs w:val="24"/>
        </w:rPr>
        <w:t>más</w:t>
      </w:r>
      <w:r w:rsidRPr="00C36A2C">
        <w:rPr>
          <w:rFonts w:ascii="Century Gothic" w:hAnsi="Century Gothic" w:cs="Times New Roman"/>
          <w:sz w:val="24"/>
          <w:szCs w:val="24"/>
        </w:rPr>
        <w:t xml:space="preserve"> sensible a los problemas de los niños y más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>eficiente para resolverlos si queremos cambiar la situación escolar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>de nuestra población. El lenguaje se vuelve imprescindible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>comprender a cabalidad las formas de trabajar con él, pues el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>riesgo de que sus funciones sociales se distorsionen está siempre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Pr="00C36A2C">
        <w:rPr>
          <w:rFonts w:ascii="Century Gothic" w:hAnsi="Century Gothic" w:cs="Times New Roman"/>
          <w:sz w:val="24"/>
          <w:szCs w:val="24"/>
        </w:rPr>
        <w:t>presente</w:t>
      </w:r>
      <w:r w:rsidR="00225EAC">
        <w:rPr>
          <w:rFonts w:ascii="Century Gothic" w:hAnsi="Century Gothic" w:cs="Times New Roman"/>
          <w:sz w:val="24"/>
          <w:szCs w:val="24"/>
        </w:rPr>
        <w:t xml:space="preserve"> para esto Ferreiro nos dice que se debe per</w:t>
      </w:r>
      <w:r w:rsidR="00225EAC" w:rsidRPr="00225EAC">
        <w:rPr>
          <w:rFonts w:ascii="Century Gothic" w:hAnsi="Century Gothic" w:cs="Times New Roman"/>
          <w:sz w:val="24"/>
          <w:szCs w:val="24"/>
        </w:rPr>
        <w:t>mitir a los niños</w:t>
      </w:r>
      <w:r>
        <w:rPr>
          <w:rFonts w:ascii="Century Gothic" w:hAnsi="Century Gothic" w:cs="Times New Roman"/>
          <w:sz w:val="24"/>
          <w:szCs w:val="24"/>
        </w:rPr>
        <w:t xml:space="preserve"> </w:t>
      </w:r>
      <w:r w:rsidR="00225EAC" w:rsidRPr="00225EAC">
        <w:rPr>
          <w:rFonts w:ascii="Century Gothic" w:hAnsi="Century Gothic" w:cs="Times New Roman"/>
          <w:sz w:val="24"/>
          <w:szCs w:val="24"/>
        </w:rPr>
        <w:t>experimentar sobre marcas escritas,</w:t>
      </w:r>
      <w:r w:rsidR="00225EAC">
        <w:rPr>
          <w:rFonts w:ascii="Century Gothic" w:hAnsi="Century Gothic" w:cs="Times New Roman"/>
          <w:sz w:val="24"/>
          <w:szCs w:val="24"/>
        </w:rPr>
        <w:t xml:space="preserve"> </w:t>
      </w:r>
      <w:r w:rsidR="00225EAC" w:rsidRPr="00225EAC">
        <w:rPr>
          <w:rFonts w:ascii="Century Gothic" w:hAnsi="Century Gothic" w:cs="Times New Roman"/>
          <w:sz w:val="24"/>
          <w:szCs w:val="24"/>
        </w:rPr>
        <w:t>escuchar leer en voz alta, ver escribir a los adultos, intentar escribir y</w:t>
      </w:r>
      <w:r w:rsidR="00225EAC">
        <w:rPr>
          <w:rFonts w:ascii="Century Gothic" w:hAnsi="Century Gothic" w:cs="Times New Roman"/>
          <w:sz w:val="24"/>
          <w:szCs w:val="24"/>
        </w:rPr>
        <w:t xml:space="preserve"> </w:t>
      </w:r>
      <w:r w:rsidR="00225EAC" w:rsidRPr="00225EAC">
        <w:rPr>
          <w:rFonts w:ascii="Century Gothic" w:hAnsi="Century Gothic" w:cs="Times New Roman"/>
          <w:sz w:val="24"/>
          <w:szCs w:val="24"/>
        </w:rPr>
        <w:t>leer</w:t>
      </w:r>
      <w:r w:rsidR="00225EAC">
        <w:rPr>
          <w:rFonts w:ascii="Century Gothic" w:hAnsi="Century Gothic" w:cs="Times New Roman"/>
          <w:sz w:val="24"/>
          <w:szCs w:val="24"/>
        </w:rPr>
        <w:t xml:space="preserve">, etc. se les debe dar ocasiones de aprender </w:t>
      </w:r>
      <w:sdt>
        <w:sdtPr>
          <w:rPr>
            <w:rFonts w:ascii="Century Gothic" w:hAnsi="Century Gothic" w:cs="Times New Roman"/>
            <w:sz w:val="24"/>
            <w:szCs w:val="24"/>
          </w:rPr>
          <w:id w:val="-1606030971"/>
          <w:citation/>
        </w:sdtPr>
        <w:sdtContent>
          <w:r w:rsidR="00225EAC">
            <w:rPr>
              <w:rFonts w:ascii="Century Gothic" w:hAnsi="Century Gothic" w:cs="Times New Roman"/>
              <w:sz w:val="24"/>
              <w:szCs w:val="24"/>
            </w:rPr>
            <w:fldChar w:fldCharType="begin"/>
          </w:r>
          <w:r w:rsidR="00225EAC">
            <w:rPr>
              <w:rFonts w:ascii="Century Gothic" w:hAnsi="Century Gothic" w:cs="Times New Roman"/>
              <w:sz w:val="24"/>
              <w:szCs w:val="24"/>
            </w:rPr>
            <w:instrText xml:space="preserve"> CITATION Fer98 \l 2058 </w:instrText>
          </w:r>
          <w:r w:rsidR="00225EAC">
            <w:rPr>
              <w:rFonts w:ascii="Century Gothic" w:hAnsi="Century Gothic" w:cs="Times New Roman"/>
              <w:sz w:val="24"/>
              <w:szCs w:val="24"/>
            </w:rPr>
            <w:fldChar w:fldCharType="separate"/>
          </w:r>
          <w:r w:rsidR="00225EAC" w:rsidRPr="00225EAC">
            <w:rPr>
              <w:rFonts w:ascii="Century Gothic" w:hAnsi="Century Gothic" w:cs="Times New Roman"/>
              <w:noProof/>
              <w:sz w:val="24"/>
              <w:szCs w:val="24"/>
            </w:rPr>
            <w:t>(Ferreiro, 1998)</w:t>
          </w:r>
          <w:r w:rsidR="00225EAC">
            <w:rPr>
              <w:rFonts w:ascii="Century Gothic" w:hAnsi="Century Gothic" w:cs="Times New Roman"/>
              <w:sz w:val="24"/>
              <w:szCs w:val="24"/>
            </w:rPr>
            <w:fldChar w:fldCharType="end"/>
          </w:r>
        </w:sdtContent>
      </w:sdt>
      <w:r w:rsidR="00225EAC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hAnsi="Century Gothic" w:cs="Times New Roman"/>
          <w:sz w:val="24"/>
          <w:szCs w:val="24"/>
        </w:rPr>
        <w:t xml:space="preserve"> Gracias a esto, podemos hacer que el niño vaya </w:t>
      </w:r>
      <w:r>
        <w:rPr>
          <w:rFonts w:ascii="Century Gothic" w:hAnsi="Century Gothic" w:cs="Times New Roman"/>
          <w:sz w:val="24"/>
          <w:szCs w:val="24"/>
        </w:rPr>
        <w:lastRenderedPageBreak/>
        <w:t>experimentando bajo diferentes contextos sociales, que en un futuro ya sea o cercano, va a ser participe, ya sea en enviar una carta, leer en voz alta, declamar un poema, dar su opinión, argumentar, escribir algún recado, entre millones de ejemplos más.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r w:rsidR="00570927" w:rsidRPr="00570927">
        <w:rPr>
          <w:rFonts w:ascii="Century Gothic" w:hAnsi="Century Gothic" w:cs="Times New Roman"/>
          <w:sz w:val="24"/>
          <w:szCs w:val="24"/>
        </w:rPr>
        <w:t xml:space="preserve">, es posible establecer una coherencia entre 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r w:rsidR="00570927" w:rsidRPr="00570927">
        <w:rPr>
          <w:rFonts w:ascii="Century Gothic" w:hAnsi="Century Gothic" w:cs="Times New Roman"/>
          <w:sz w:val="24"/>
          <w:szCs w:val="24"/>
        </w:rPr>
        <w:t>contenidos de enseñanzas y prácticas de lenguaje que trasciendan la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r w:rsidR="00570927" w:rsidRPr="00570927">
        <w:rPr>
          <w:rFonts w:ascii="Century Gothic" w:hAnsi="Century Gothic" w:cs="Times New Roman"/>
          <w:sz w:val="24"/>
          <w:szCs w:val="24"/>
        </w:rPr>
        <w:t xml:space="preserve">dimensión de objeto de 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r w:rsidR="00570927" w:rsidRPr="00570927">
        <w:rPr>
          <w:rFonts w:ascii="Century Gothic" w:hAnsi="Century Gothic" w:cs="Times New Roman"/>
          <w:sz w:val="24"/>
          <w:szCs w:val="24"/>
        </w:rPr>
        <w:t>enseñanza (considerar las prácticas solo desde su dimensión socio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r w:rsidR="00570927" w:rsidRPr="00570927">
        <w:rPr>
          <w:rFonts w:ascii="Century Gothic" w:hAnsi="Century Gothic" w:cs="Times New Roman"/>
          <w:sz w:val="24"/>
          <w:szCs w:val="24"/>
        </w:rPr>
        <w:t>lingüística) y se consideren desde su dimensión socio-educativa</w:t>
      </w:r>
      <w:r w:rsidR="00570927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-109128300"/>
          <w:citation/>
        </w:sdtPr>
        <w:sdtContent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begin"/>
          </w:r>
          <w:r w:rsidR="00570927">
            <w:rPr>
              <w:rFonts w:ascii="Century Gothic" w:hAnsi="Century Gothic" w:cs="Times New Roman"/>
              <w:sz w:val="24"/>
              <w:szCs w:val="24"/>
            </w:rPr>
            <w:instrText xml:space="preserve"> CITATION Bau97 \l 2058 </w:instrText>
          </w:r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separate"/>
          </w:r>
          <w:r w:rsidR="00570927" w:rsidRPr="00570927">
            <w:rPr>
              <w:rFonts w:ascii="Century Gothic" w:hAnsi="Century Gothic" w:cs="Times New Roman"/>
              <w:noProof/>
              <w:sz w:val="24"/>
              <w:szCs w:val="24"/>
            </w:rPr>
            <w:t>(Bautier, 1997)</w:t>
          </w:r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end"/>
          </w:r>
        </w:sdtContent>
      </w:sdt>
    </w:p>
    <w:p w14:paraId="7346CFD7" w14:textId="17C07C78" w:rsidR="003A7D18" w:rsidRDefault="00425151" w:rsidP="00C36A2C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La educación sobre el lenguaje en preescolar no debe ser a la ligera o subestimar la capacidad de los niños para aprender, por lo que como maestras de jardín de niños tenemos la responsabilidad de estudiar a los distintos autores que hablan sobre el cómo los niños van adquiriendo el lenguaje y también estar actualizadas según los programas de la SEP para los contenidos de las clases y los aprendizaje esperados, las orientaciones didácticas, etc. Entre las actualizaciones podemos darnos cuenta </w:t>
      </w:r>
      <w:r w:rsidR="00570927">
        <w:rPr>
          <w:rFonts w:ascii="Century Gothic" w:hAnsi="Century Gothic" w:cs="Times New Roman"/>
          <w:sz w:val="24"/>
          <w:szCs w:val="24"/>
        </w:rPr>
        <w:t>de que</w:t>
      </w:r>
      <w:r>
        <w:rPr>
          <w:rFonts w:ascii="Century Gothic" w:hAnsi="Century Gothic" w:cs="Times New Roman"/>
          <w:sz w:val="24"/>
          <w:szCs w:val="24"/>
        </w:rPr>
        <w:t xml:space="preserve"> en el 2004 solo se enfocaban en que el niño logrará el objetivo o el aprendizaje, el 2011 cambia y ahora se espera que el niño </w:t>
      </w:r>
      <w:r w:rsidR="00570927">
        <w:rPr>
          <w:rFonts w:ascii="Century Gothic" w:hAnsi="Century Gothic" w:cs="Times New Roman"/>
          <w:sz w:val="24"/>
          <w:szCs w:val="24"/>
        </w:rPr>
        <w:t>haga,</w:t>
      </w:r>
      <w:r>
        <w:rPr>
          <w:rFonts w:ascii="Century Gothic" w:hAnsi="Century Gothic" w:cs="Times New Roman"/>
          <w:sz w:val="24"/>
          <w:szCs w:val="24"/>
        </w:rPr>
        <w:t xml:space="preserve"> pero también se centra la atención en cómo, el proceso que realizó para lograrlo y en el programa actual del 2017 se agrega 3 pilares par el logro de las competencias que son los conocimientos, las habilidades y las actitudes y valores</w:t>
      </w:r>
      <w:r w:rsidR="00570927">
        <w:rPr>
          <w:rFonts w:ascii="Century Gothic" w:hAnsi="Century Gothic" w:cs="Times New Roman"/>
          <w:sz w:val="24"/>
          <w:szCs w:val="24"/>
        </w:rPr>
        <w:t>,</w:t>
      </w:r>
      <w:sdt>
        <w:sdtPr>
          <w:rPr>
            <w:rFonts w:ascii="Century Gothic" w:hAnsi="Century Gothic" w:cs="Times New Roman"/>
            <w:sz w:val="24"/>
            <w:szCs w:val="24"/>
          </w:rPr>
          <w:id w:val="-1979914400"/>
          <w:citation/>
        </w:sdtPr>
        <w:sdtContent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begin"/>
          </w:r>
          <w:r w:rsidR="00570927">
            <w:rPr>
              <w:rFonts w:ascii="Century Gothic" w:hAnsi="Century Gothic" w:cs="Times New Roman"/>
              <w:sz w:val="24"/>
              <w:szCs w:val="24"/>
            </w:rPr>
            <w:instrText xml:space="preserve"> CITATION SEP171 \l 2058 </w:instrText>
          </w:r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separate"/>
          </w:r>
          <w:r w:rsidR="00570927">
            <w:rPr>
              <w:rFonts w:ascii="Century Gothic" w:hAnsi="Century Gothic" w:cs="Times New Roman"/>
              <w:noProof/>
              <w:sz w:val="24"/>
              <w:szCs w:val="24"/>
            </w:rPr>
            <w:t xml:space="preserve"> </w:t>
          </w:r>
          <w:r w:rsidR="00570927" w:rsidRPr="00570927">
            <w:rPr>
              <w:rFonts w:ascii="Century Gothic" w:hAnsi="Century Gothic" w:cs="Times New Roman"/>
              <w:noProof/>
              <w:sz w:val="24"/>
              <w:szCs w:val="24"/>
            </w:rPr>
            <w:t>(SEP, 2017)</w:t>
          </w:r>
          <w:r w:rsidR="00570927">
            <w:rPr>
              <w:rFonts w:ascii="Century Gothic" w:hAnsi="Century Gothic" w:cs="Times New Roman"/>
              <w:sz w:val="24"/>
              <w:szCs w:val="24"/>
            </w:rPr>
            <w:fldChar w:fldCharType="end"/>
          </w:r>
        </w:sdtContent>
      </w:sdt>
      <w:r w:rsidR="00570927">
        <w:rPr>
          <w:rFonts w:ascii="Century Gothic" w:hAnsi="Century Gothic" w:cs="Times New Roman"/>
          <w:sz w:val="24"/>
          <w:szCs w:val="24"/>
        </w:rPr>
        <w:t xml:space="preserve"> siendo esto el ambiente en el que el niño realiza el proceso</w:t>
      </w:r>
      <w:r w:rsidR="003A7D18">
        <w:rPr>
          <w:rFonts w:ascii="Century Gothic" w:hAnsi="Century Gothic" w:cs="Times New Roman"/>
          <w:sz w:val="24"/>
          <w:szCs w:val="24"/>
        </w:rPr>
        <w:t>. Dicho anteriormente, el preescolar son los cimientos de todos los futuros conocimientos que los niños van a tener, por lo que es de suma importancia tomarlos en serio y hacerles ver a los niños que son capaces de aprender mucho y de hacer muchas cosas y no limitarlos sólo porque son pequeños, sino hacerlos crecer en conocimiento y habilidades ya que toda su vida las van a necesitar.</w:t>
      </w:r>
    </w:p>
    <w:p w14:paraId="15B2CC97" w14:textId="23357AD5" w:rsidR="003A7D18" w:rsidRDefault="003A7D18" w:rsidP="00C36A2C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En lo personal el llevar la materia de practicas sociales de lenguaje me ha hecho darme cuenta de muchas cosas que para mí pasaban </w:t>
      </w:r>
      <w:r>
        <w:rPr>
          <w:rFonts w:ascii="Century Gothic" w:hAnsi="Century Gothic" w:cs="Times New Roman"/>
          <w:sz w:val="24"/>
          <w:szCs w:val="24"/>
        </w:rPr>
        <w:lastRenderedPageBreak/>
        <w:t>desapercibida como el proceso de aprendizaje de lenguaje de los niños en preescolar y lo importante que enseñar de manera eficiente; pienso que para poder enseñar hay que saber y el que veamos autores que hablan de las temáticas de la clase, el que nos pongan actividades para identificar las diferentes situaciones o contextos sociales en los que utilizamos el lenguaje me ha servido mucho para ser consiente de lo que en un futuro yo voy a ir a enseñar a un salón en un jardín de niños, ya que a veces uno llega a pensar que puede ser muy fácil y que solo hay que poner juegos o actividades divertidas para entretener a los niños, pero realmente no son juegos, sino estrategias para que el infante logre entender y comprender lo que realimente estamos enseñando y poder llegar a cumplir las competencias esperadas.</w:t>
      </w:r>
    </w:p>
    <w:p w14:paraId="55B5F56D" w14:textId="4EF0D265" w:rsidR="003A7D18" w:rsidRDefault="003A7D18" w:rsidP="00C36A2C">
      <w:pPr>
        <w:spacing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Todavía me falta mucho por aprender y como futura maestra estoy dando mi esfuerzo para poder llegar a dar una formación completa en todos los sentidos cuando este frente a un grupo y la educación de niños de 3 a 6 dependa de mí y pueda decir que estoy haciendo un muy buen trabajo</w:t>
      </w:r>
      <w:r w:rsidR="0026645B">
        <w:rPr>
          <w:rFonts w:ascii="Century Gothic" w:hAnsi="Century Gothic" w:cs="Times New Roman"/>
          <w:sz w:val="24"/>
          <w:szCs w:val="24"/>
        </w:rPr>
        <w:t xml:space="preserve"> y que se vea reflejado en mis alumnos.</w:t>
      </w:r>
    </w:p>
    <w:sdt>
      <w:sdtPr>
        <w:rPr>
          <w:lang w:val="es-ES"/>
        </w:rPr>
        <w:id w:val="181143816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4178F75F" w14:textId="5DB64EDD" w:rsidR="0026645B" w:rsidRDefault="0026645B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08B50FEA" w14:textId="77777777" w:rsidR="0026645B" w:rsidRDefault="0026645B" w:rsidP="0026645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Bautier, E. (1997). Las practicas de la sociolingüística. En E. Bautier, </w:t>
              </w:r>
              <w:r>
                <w:rPr>
                  <w:i/>
                  <w:iCs/>
                  <w:noProof/>
                  <w:lang w:val="es-ES"/>
                </w:rPr>
                <w:t>Las practicas de la sociolingüística.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25302B6C" w14:textId="77777777" w:rsidR="0026645B" w:rsidRDefault="0026645B" w:rsidP="0026645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Ferreiro, E. (1998). El espacio de la lectura y la escritura en la educación preescolar. En E. Ferreiro, </w:t>
              </w:r>
              <w:r>
                <w:rPr>
                  <w:i/>
                  <w:iCs/>
                  <w:noProof/>
                  <w:lang w:val="es-ES"/>
                </w:rPr>
                <w:t>Alfabetización. Teoría y Práctica.</w:t>
              </w:r>
              <w:r>
                <w:rPr>
                  <w:noProof/>
                  <w:lang w:val="es-ES"/>
                </w:rPr>
                <w:t xml:space="preserve"> Siglo Veintiuno Editores.</w:t>
              </w:r>
            </w:p>
            <w:p w14:paraId="43FE968A" w14:textId="77777777" w:rsidR="0026645B" w:rsidRDefault="0026645B" w:rsidP="0026645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SEP. (2017). 5. ¿Qué se aprende? contenidos. En SEP, </w:t>
              </w:r>
              <w:r>
                <w:rPr>
                  <w:i/>
                  <w:iCs/>
                  <w:noProof/>
                  <w:lang w:val="es-ES"/>
                </w:rPr>
                <w:t>Aprendizajes Clave</w:t>
              </w:r>
              <w:r>
                <w:rPr>
                  <w:noProof/>
                  <w:lang w:val="es-ES"/>
                </w:rPr>
                <w:t xml:space="preserve"> (pág. 107). Ciudad de México.</w:t>
              </w:r>
            </w:p>
            <w:p w14:paraId="58B6DC37" w14:textId="055D0C87" w:rsidR="0026645B" w:rsidRDefault="0026645B" w:rsidP="0026645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7C44BC7" w14:textId="77777777" w:rsidR="0026645B" w:rsidRDefault="0026645B" w:rsidP="00C36A2C">
      <w:pPr>
        <w:spacing w:line="360" w:lineRule="auto"/>
        <w:rPr>
          <w:rFonts w:ascii="Century Gothic" w:hAnsi="Century Gothic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33"/>
        <w:tblW w:w="11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7"/>
        <w:gridCol w:w="2462"/>
        <w:gridCol w:w="2410"/>
        <w:gridCol w:w="2268"/>
        <w:gridCol w:w="2410"/>
      </w:tblGrid>
      <w:tr w:rsidR="0026645B" w:rsidRPr="00B85F1E" w14:paraId="42F7E89F" w14:textId="77777777" w:rsidTr="00FB1B82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EE771AA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CATEGORÍA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50005AC0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14:paraId="38A66958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63241687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14:paraId="7A8136C5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4A1F1BD3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14:paraId="267B5C06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65861B02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14:paraId="64C70AD8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26645B" w:rsidRPr="00B85F1E" w14:paraId="4AEDE776" w14:textId="77777777" w:rsidTr="00FB1B82">
        <w:trPr>
          <w:trHeight w:val="917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E1AC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lastRenderedPageBreak/>
              <w:t>Enfoque en 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4905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0DDF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01AC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</w:t>
            </w:r>
            <w:proofErr w:type="gramStart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mayor información</w:t>
            </w:r>
            <w:proofErr w:type="gramEnd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de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0FF45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26645B" w:rsidRPr="00B85F1E" w14:paraId="2CE9224B" w14:textId="77777777" w:rsidTr="00FB1B82">
        <w:trPr>
          <w:trHeight w:val="146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7B33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2B7E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640D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C3A69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9B95E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26645B" w:rsidRPr="00B85F1E" w14:paraId="012B2F66" w14:textId="77777777" w:rsidTr="00FB1B82">
        <w:trPr>
          <w:trHeight w:val="1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543E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7C74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553E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02F8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9698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26645B" w:rsidRPr="00B85F1E" w14:paraId="1EEA6CAD" w14:textId="77777777" w:rsidTr="00FB1B82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60590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5747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2ED0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DAA51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CD94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26645B" w:rsidRPr="00B85F1E" w14:paraId="2A31BE2B" w14:textId="77777777" w:rsidTr="00FB1B82">
        <w:trPr>
          <w:trHeight w:val="132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EE62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Gramática y Ortografía (Convenciones)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EEA9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080B0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5E217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5377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26645B" w:rsidRPr="00B85F1E" w14:paraId="138DD06A" w14:textId="77777777" w:rsidTr="00FB1B82">
        <w:trPr>
          <w:trHeight w:val="1583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94B77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Redacción</w:t>
            </w:r>
          </w:p>
          <w:p w14:paraId="69B0F7E2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(Fluidez de la Oración)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8945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8F2AF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Casi todas las oraciones suenan naturales y son fáciles de entender cuando se leen en voz alta, pero 1 </w:t>
            </w:r>
            <w:proofErr w:type="spellStart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ó</w:t>
            </w:r>
            <w:proofErr w:type="spellEnd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2 son complicadas y difíciles de entender.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FC83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1EBA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26645B" w:rsidRPr="00B85F1E" w14:paraId="49697B76" w14:textId="77777777" w:rsidTr="00FB1B82">
        <w:trPr>
          <w:trHeight w:val="1500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3C50" w14:textId="77777777" w:rsidR="0026645B" w:rsidRPr="00B85F1E" w:rsidRDefault="0026645B" w:rsidP="00FB1B8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Fuentes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9FAD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1AF28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3605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4943" w14:textId="77777777" w:rsidR="0026645B" w:rsidRPr="00B85F1E" w:rsidRDefault="0026645B" w:rsidP="00FB1B8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26645B" w14:paraId="683FB6BC" w14:textId="77777777" w:rsidTr="00FB1B82">
        <w:trPr>
          <w:trHeight w:val="1399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23BE6" w14:textId="77777777" w:rsidR="0026645B" w:rsidRDefault="0026645B" w:rsidP="00FB1B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>Aporte personal (Voz)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E52F" w14:textId="77777777" w:rsidR="0026645B" w:rsidRDefault="0026645B" w:rsidP="00FB1B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1505" w14:textId="77777777" w:rsidR="0026645B" w:rsidRDefault="0026645B" w:rsidP="00FB1B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053B" w14:textId="77777777" w:rsidR="0026645B" w:rsidRDefault="0026645B" w:rsidP="00FB1B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98CE9" w14:textId="77777777" w:rsidR="0026645B" w:rsidRDefault="0026645B" w:rsidP="00FB1B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14:paraId="2F898BCF" w14:textId="77777777" w:rsidR="00C36A2C" w:rsidRPr="00291BF5" w:rsidRDefault="00C36A2C" w:rsidP="00C36A2C">
      <w:pPr>
        <w:spacing w:line="360" w:lineRule="auto"/>
        <w:rPr>
          <w:rFonts w:ascii="Century Gothic" w:hAnsi="Century Gothic" w:cs="Times New Roman"/>
          <w:sz w:val="24"/>
          <w:szCs w:val="24"/>
        </w:rPr>
      </w:pPr>
    </w:p>
    <w:sectPr w:rsidR="00C36A2C" w:rsidRPr="00291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5"/>
    <w:rsid w:val="00225EAC"/>
    <w:rsid w:val="00254317"/>
    <w:rsid w:val="0026645B"/>
    <w:rsid w:val="00291BF5"/>
    <w:rsid w:val="002D434F"/>
    <w:rsid w:val="0030290A"/>
    <w:rsid w:val="003A7D18"/>
    <w:rsid w:val="00425151"/>
    <w:rsid w:val="00474214"/>
    <w:rsid w:val="00570927"/>
    <w:rsid w:val="005D1E5C"/>
    <w:rsid w:val="00665324"/>
    <w:rsid w:val="00964C95"/>
    <w:rsid w:val="00C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A85D"/>
  <w15:chartTrackingRefBased/>
  <w15:docId w15:val="{F64955E4-F0F3-4D7E-9394-FDC6529B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24"/>
  </w:style>
  <w:style w:type="paragraph" w:styleId="Ttulo1">
    <w:name w:val="heading 1"/>
    <w:basedOn w:val="Normal"/>
    <w:next w:val="Normal"/>
    <w:link w:val="Ttulo1Car"/>
    <w:uiPriority w:val="9"/>
    <w:qFormat/>
    <w:rsid w:val="00266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66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Fer98</b:Tag>
    <b:SourceType>BookSection</b:SourceType>
    <b:Guid>{BCF1F5F5-E7B0-4B79-A5F8-6032A41B1AA6}</b:Guid>
    <b:Title>El espacio de la lectura y la escritura en la educación preescolar</b:Title>
    <b:Year>1998</b:Year>
    <b:Publisher>Siglo Veintiuno Editores</b:Publisher>
    <b:Author>
      <b:Author>
        <b:NameList>
          <b:Person>
            <b:Last>Ferreiro</b:Last>
            <b:First>Emilia</b:First>
          </b:Person>
        </b:NameList>
      </b:Author>
      <b:BookAuthor>
        <b:NameList>
          <b:Person>
            <b:Last>Ferreiro</b:Last>
            <b:First>Emilia</b:First>
          </b:Person>
        </b:NameList>
      </b:BookAuthor>
    </b:Author>
    <b:BookTitle>Alfabetización. Teoría y Práctica</b:BookTitle>
    <b:RefOrder>1</b:RefOrder>
  </b:Source>
  <b:Source>
    <b:Tag>SEP171</b:Tag>
    <b:SourceType>BookSection</b:SourceType>
    <b:Guid>{D905E34F-AA9B-4C4A-8270-2577A03A7B19}</b:Guid>
    <b:Author>
      <b:Author>
        <b:NameList>
          <b:Person>
            <b:Last>SEP</b:Last>
          </b:Person>
        </b:NameList>
      </b:Author>
      <b:BookAuthor>
        <b:NameList>
          <b:Person>
            <b:Last>SEP</b:Last>
          </b:Person>
        </b:NameList>
      </b:BookAuthor>
    </b:Author>
    <b:Title>5. ¿Qué se aprende? contenidos</b:Title>
    <b:BookTitle>Aprendizajes Clave</b:BookTitle>
    <b:Year>2017</b:Year>
    <b:Pages>107</b:Pages>
    <b:City>Ciudad de México</b:City>
    <b:RefOrder>3</b:RefOrder>
  </b:Source>
  <b:Source>
    <b:Tag>Bau97</b:Tag>
    <b:SourceType>BookSection</b:SourceType>
    <b:Guid>{5C23C42C-AB23-4B52-8C1A-4BEC245C0EFD}</b:Guid>
    <b:Author>
      <b:Author>
        <b:NameList>
          <b:Person>
            <b:Last>Bautier</b:Last>
            <b:First>E</b:First>
          </b:Person>
        </b:NameList>
      </b:Author>
      <b:BookAuthor>
        <b:NameList>
          <b:Person>
            <b:Last>Bautier</b:Last>
            <b:First>E</b:First>
          </b:Person>
        </b:NameList>
      </b:BookAuthor>
    </b:Author>
    <b:Title>Las practicas de la sociolingüística</b:Title>
    <b:BookTitle>Las practicas de la sociolingüística</b:BookTitle>
    <b:Year>1997</b:Year>
    <b:RefOrder>2</b:RefOrder>
  </b:Source>
</b:Sources>
</file>

<file path=customXml/itemProps1.xml><?xml version="1.0" encoding="utf-8"?>
<ds:datastoreItem xmlns:ds="http://schemas.openxmlformats.org/officeDocument/2006/customXml" ds:itemID="{12324849-CCF1-4544-A3B8-28DDD34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2</cp:revision>
  <dcterms:created xsi:type="dcterms:W3CDTF">2021-04-22T02:32:00Z</dcterms:created>
  <dcterms:modified xsi:type="dcterms:W3CDTF">2021-04-22T04:55:00Z</dcterms:modified>
</cp:coreProperties>
</file>