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 DEL ESTADO DE COAHUILA DE ZARAGOZA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3096895</wp:posOffset>
            </wp:positionH>
            <wp:positionV relativeFrom="paragraph">
              <wp:posOffset>367665</wp:posOffset>
            </wp:positionV>
            <wp:extent cx="1882775" cy="1390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39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Materia: Estrategias del trabajo docente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“Cronograma y sistematización de etapas y procedimientos de estrategias de estudio de caso”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Docente: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Isabel del Carmen Aguirre Ramos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8"/>
          <w:szCs w:val="28"/>
        </w:rPr>
        <w:sectPr>
          <w:pgSz w:h="12240" w:w="15840" w:orient="landscape"/>
          <w:pgMar w:bottom="1701" w:top="1701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Equipo de práctica: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Ana Sofía Aguirre Fraga #2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Sofía Abisaí García Murillo #6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Nayeli Abigail Ibarguen Pérez #10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Edgar Leyva Buendía #12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Blanca Guadalupe Ramírez García #15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Nayely Lizbeth Ramos Lara #16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Karina Rivera Guillermo #17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  <w:sectPr>
          <w:type w:val="continuous"/>
          <w:pgSz w:h="12240" w:w="15840" w:orient="landscape"/>
          <w:pgMar w:bottom="1701" w:top="1701" w:left="1417" w:right="1417" w:header="708" w:footer="708"/>
          <w:cols w:equalWidth="0" w:num="2">
            <w:col w:space="708" w:w="6149"/>
            <w:col w:space="0" w:w="6149"/>
          </w:cols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Laura Alejandra Treviño Aguirre  #20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Unidad de aprendizaje I. Diseño, intervención y evaluación en el aula: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-31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-31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-31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-319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9">
      <w:pPr>
        <w:ind w:left="284" w:right="-319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Saltillo, Coahuila. 13 de abril de 2021</w:t>
      </w:r>
    </w:p>
    <w:p w:rsidR="00000000" w:rsidDel="00000000" w:rsidP="00000000" w:rsidRDefault="00000000" w:rsidRPr="00000000" w14:paraId="0000001B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4" w:right="-31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Y SISTEMATIZACIÓN DE ETAPAS Y PROCEDIMIENTOS DE ESTRATEGIAS DE ESTUDIO DE CASO</w:t>
      </w:r>
    </w:p>
    <w:tbl>
      <w:tblPr>
        <w:tblStyle w:val="Table1"/>
        <w:tblW w:w="13291.0" w:type="dxa"/>
        <w:jc w:val="left"/>
        <w:tblInd w:w="0.0" w:type="dxa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5495"/>
        <w:gridCol w:w="2693"/>
        <w:gridCol w:w="5103"/>
        <w:tblGridChange w:id="0">
          <w:tblGrid>
            <w:gridCol w:w="5495"/>
            <w:gridCol w:w="2693"/>
            <w:gridCol w:w="5103"/>
          </w:tblGrid>
        </w:tblGridChange>
      </w:tblGrid>
      <w:tr>
        <w:tc>
          <w:tcPr>
            <w:tcBorders>
              <w:right w:color="92d050" w:space="0" w:sz="8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ETAPAS Y PROCEDIMINETOS</w:t>
            </w:r>
          </w:p>
        </w:tc>
        <w:tc>
          <w:tcPr>
            <w:tcBorders>
              <w:left w:color="92d050" w:space="0" w:sz="8" w:val="single"/>
              <w:right w:color="92d050" w:space="0" w:sz="8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tcBorders>
              <w:top w:color="92d050" w:space="0" w:sz="4" w:val="single"/>
              <w:left w:color="92d050" w:space="0" w:sz="8" w:val="single"/>
              <w:bottom w:color="92d050" w:space="0" w:sz="4" w:val="single"/>
              <w:right w:color="92d05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OBSERVACIÓN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DEFINICIÓN </w:t>
            </w:r>
          </w:p>
        </w:tc>
        <w:tc>
          <w:tcPr>
            <w:tcBorders>
              <w:left w:color="92d050" w:space="0" w:sz="8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marzo de 2021</w:t>
            </w:r>
          </w:p>
        </w:tc>
        <w:tc>
          <w:tcPr>
            <w:tcBorders>
              <w:top w:color="92d050" w:space="0" w:sz="4" w:val="single"/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Tratado en una sesión en línea de la materia, llegamos al acuerdo siguiente: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estudio de caso se realizará de manera grupal, pero el producto final será utilizado para la Evidencia integradora. 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CONCEPTUACIÓN (descripción teórica)</w:t>
            </w:r>
          </w:p>
        </w:tc>
        <w:tc>
          <w:tcPr>
            <w:tcBorders>
              <w:left w:color="92d050" w:space="0" w:sz="8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marzo de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Manejar una conceptuación: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es?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¿Para qué?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 el fin de saber la finalidad del estudio de caso 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DELIMITAR EL CASO </w:t>
            </w:r>
          </w:p>
        </w:tc>
        <w:tc>
          <w:tcPr>
            <w:tcBorders>
              <w:left w:color="92d050" w:space="0" w:sz="8" w:val="single"/>
              <w:bottom w:color="92d050" w:space="0" w:sz="4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marzo de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través de una presentación con la docente se delimitó el caso a tratar, para poder saber cuál era el mismo. A lo que se llegó a la idea de que este llevaría por nombre “la enseñanza en línea como propuesta de aprendizaje en alumnos preescolares.”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 QUE DIMENSIONAN LA PROBLEMÁTICA COMO OBJETO DE INVESTIGACIÓN Y LA EXPLICACIÓN TEÓRICA (Bibliografía) </w:t>
            </w:r>
          </w:p>
        </w:tc>
        <w:tc>
          <w:tcPr>
            <w:tcBorders>
              <w:top w:color="92d050" w:space="0" w:sz="4" w:val="single"/>
              <w:left w:color="92d050" w:space="0" w:sz="8" w:val="single"/>
              <w:bottom w:color="92d050" w:space="0" w:sz="4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de marzo de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Dentro de la clase virtual se generaron distintas preguntas “detonadoras” las cuales sirvieron para poder manejar el caso, y serán las que nos sirvan para poder realizar la investigación y exploración teórica. 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COMO OBJETO DE INVESTIGACIÓN (Propuestas de planeación) </w:t>
            </w:r>
          </w:p>
        </w:tc>
        <w:tc>
          <w:tcPr>
            <w:tcBorders>
              <w:top w:color="92d050" w:space="0" w:sz="4" w:val="single"/>
              <w:left w:color="92d050" w:space="0" w:sz="8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de abril del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de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intervención-evaluativo: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Implica valorar si el proceso de intervención fue el adecuado y asimismo estimar los alcances y limitaciones de las propuestas de mejora. Dentro del cual se realizará la planeación a poder manejar dentro de nuestra jornada de práctica. 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SISTEMA DE ACOPIO DE INFORMACIÓN (Instrumentos para recabar información) </w:t>
            </w:r>
          </w:p>
        </w:tc>
        <w:tc>
          <w:tcPr>
            <w:tcBorders>
              <w:left w:color="92d050" w:space="0" w:sz="8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de abril de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manera grupal se acordó que vamos a realizar 15 preguntas a nuestros 3 actores. 5 preguntas a la maestra, 5 preguntas al 30% de los niños y 5 preguntas a diferentes padres de familia, con el fin de poder conocer cómo están llevando o enfrentando la educación y clases en línea, así como también conocer sus inconformidades o como se sienten con esta modalidad. Basado en esto podremos saber sus respuestas y conocer más aún esta forma de trabajo y poder después elaborar nuestro informe.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FINAL </w:t>
            </w:r>
          </w:p>
        </w:tc>
        <w:tc>
          <w:tcPr>
            <w:tcBorders>
              <w:left w:color="92d050" w:space="0" w:sz="8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21-25 de junio de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Basado en todas nuestras etapas del caso a estudiar, así como también los contenidos, los sistemas de acopio de información y lo recopilado, se creará un informe, en el cual se plasmará todo lo mencionando anteriormente, los resultados arrojados y una descripción de nuestras jornadas de observación y práctica. </w:t>
            </w:r>
          </w:p>
        </w:tc>
      </w:tr>
      <w:tr>
        <w:tc>
          <w:tcPr>
            <w:tcBorders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BILBLIOGRAFÍA</w:t>
            </w:r>
          </w:p>
        </w:tc>
        <w:tc>
          <w:tcPr>
            <w:tcBorders>
              <w:left w:color="92d050" w:space="0" w:sz="8" w:val="single"/>
              <w:righ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21-25 de junio de 2021</w:t>
            </w:r>
          </w:p>
        </w:tc>
        <w:tc>
          <w:tcPr>
            <w:tcBorders>
              <w:left w:color="92d050" w:space="0" w:sz="8" w:val="single"/>
            </w:tcBorders>
            <w:shd w:fill="ebf1dd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Dentro del informe final se manejarán distintos autores manejados en el curso de estrategias de trabajo docente, los cuales nos servirán para poder refutar la información manejada en el escrito y así poderla al mismo tiempo validar. 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9bbb59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