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862" w:rsidRPr="00DA0F48" w:rsidRDefault="000F01B5">
      <w:pPr>
        <w:rPr>
          <w:b/>
          <w:bCs/>
          <w:sz w:val="36"/>
          <w:szCs w:val="36"/>
        </w:rPr>
      </w:pPr>
      <w:r w:rsidRPr="00DA0F48">
        <w:rPr>
          <w:b/>
          <w:bCs/>
          <w:sz w:val="36"/>
          <w:szCs w:val="36"/>
        </w:rPr>
        <w:t xml:space="preserve">IDEAS PRINCIPALES </w:t>
      </w:r>
    </w:p>
    <w:p w:rsidR="000F01B5" w:rsidRPr="00DA0F48" w:rsidRDefault="000F01B5">
      <w:pPr>
        <w:rPr>
          <w:b/>
          <w:bCs/>
          <w:sz w:val="36"/>
          <w:szCs w:val="36"/>
        </w:rPr>
      </w:pP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La infancia, la nuestra y la del mundo, tal como la ha visto durante siglos el ideal humanista no está, no existe, se ha ido, difícilmente regrese, quizá nunca haya existido.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La infancia es la memoria de la infancia. Una memoria muchas veces nostálgica que no atinamos a describir ni a descubrir en las palabras de los adultos que somos.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Los niños son sujetos concretos, la infancia bien podría ser un estado, una condición, una duplicación que realizan los adultos sobre los niños.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La niñez es un estado germinal, el gusano del hombre que, como cruel paradoja, sólo puede ser mariposa durante el poco tiempo que le queda de infancia.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proofErr w:type="spellStart"/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Clarice</w:t>
      </w:r>
      <w:proofErr w:type="spellEnd"/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Lispector</w:t>
      </w:r>
      <w:proofErr w:type="spellEnd"/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 xml:space="preserve"> (2005:17) menciona que para conocer al niño hay que esperar a que se deteriore, a que se vuelva adulto. Hacer que se ponga a nuestro alcance. Explicarlo. Domesticarlo para dibujarlo, para trazar su contorno, para dar a entender su contenido.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La escuela hace misión a partir del deterioro.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No es lo que podría llegar a ser, sino lo que el niño está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siendo.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La niñez no es algo que pasa, sino una duración, aunque más no sea una milésima en el tiempo del mundo.</w:t>
      </w:r>
    </w:p>
    <w:p w:rsidR="000F01B5" w:rsidRPr="00115B2D" w:rsidRDefault="000F01B5" w:rsidP="00115B2D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El durante de los niños sería, por lo poco que sabemos y lo poco que sabremos todavía, un tiempo no lineal, no evolutivo, no unidimensional.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La animalidad pone a la humanidad en su lugar, aunque siempre parezca lo contrario.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Una suerte de traición: el adulto le dice “basta” al niño. El imperio del ritual acontece. Lo que ocurre es una interrupción de la niñez y de la infancia.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 xml:space="preserve">El tiempo del niño es una amenaza a la celeridad y la urgencia adultas y se ve amenazada continuamente amenazada por la detención </w:t>
      </w:r>
      <w:proofErr w:type="spellStart"/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irruptiva</w:t>
      </w:r>
      <w:proofErr w:type="spellEnd"/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 xml:space="preserve"> del tiempo niño.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 xml:space="preserve">La atención se presta, no se impone. Existir tantos niños desatentos es también una rebelión. ¿Atiende más el que hace que atiende o el que decide no atender? </w:t>
      </w:r>
    </w:p>
    <w:p w:rsidR="000F01B5" w:rsidRPr="00FC7A4C" w:rsidRDefault="000F01B5" w:rsidP="00BC7C36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La interrupción en la ficción de los niños. Se trata de una ficción de libertad, de lo ilimitado, de la totalidad y, por eso, también, del abismo, del salto al vacío.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También la educación podría ser el dejarnos de interrumpir y dar paso a las irrupciones.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Los niños desatentos, sordos, ciegos, cojos, zurdos, pobres, callados, inmigrantes, autistas, espectrales, destartalados, son interrumpidos todo el tiempo. A veces, incluso hasta la muerte.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La exclusión como indiferencia, la tolerancia como pensamiento frágil, debilitado, bien acomodado a la época.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lastRenderedPageBreak/>
        <w:t>Claro que hay cuidar a los niños, protegerlos, alimentarlos, darles salud, familia, juego, educación, etcétera. Lo que está en discusión aquí es si de esto se trata todo lo que podríamos hacer; si no ocurre que una vez proclamados, nos retiramos satisfechos a continuar la escalada de desidia y abandono.</w:t>
      </w:r>
    </w:p>
    <w:p w:rsidR="000F01B5" w:rsidRPr="00ED4A37" w:rsidRDefault="000F01B5" w:rsidP="00ED4A37">
      <w:pPr>
        <w:pStyle w:val="Prrafodelista"/>
        <w:numPr>
          <w:ilvl w:val="0"/>
          <w:numId w:val="1"/>
        </w:numPr>
        <w:spacing w:after="160" w:line="259" w:lineRule="auto"/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</w:pPr>
      <w:r w:rsidRPr="00ED4A37">
        <w:rPr>
          <w:rFonts w:ascii="Aldhabi" w:eastAsiaTheme="minorHAnsi" w:hAnsi="Aldhabi" w:cs="Aldhabi" w:hint="cs"/>
          <w:color w:val="000000" w:themeColor="text1"/>
          <w:sz w:val="24"/>
          <w:szCs w:val="24"/>
          <w:lang w:eastAsia="en-US"/>
        </w:rPr>
        <w:t>De todas las interrupciones a la niñez, la escuela, la escolarización es la más conocida desde ese tiempo conocido como modernidad. La escuela es el sitio donde la mayoría de los niños van a hacerse adultos.</w:t>
      </w:r>
    </w:p>
    <w:p w:rsidR="000F01B5" w:rsidRPr="00ED4A37" w:rsidRDefault="000F01B5">
      <w:pPr>
        <w:rPr>
          <w:rFonts w:ascii="Aldhabi" w:hAnsi="Aldhabi" w:cs="Aldhabi" w:hint="cs"/>
          <w:color w:val="000000" w:themeColor="text1"/>
        </w:rPr>
      </w:pPr>
    </w:p>
    <w:sectPr w:rsidR="000F01B5" w:rsidRPr="00ED4A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459"/>
    <w:multiLevelType w:val="hybridMultilevel"/>
    <w:tmpl w:val="FFD0535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3AD4EE">
      <w:numFmt w:val="bullet"/>
      <w:lvlText w:val=""/>
      <w:lvlJc w:val="left"/>
      <w:pPr>
        <w:ind w:left="1440" w:hanging="360"/>
      </w:pPr>
      <w:rPr>
        <w:rFonts w:ascii="Symbol" w:eastAsiaTheme="minorHAnsi" w:hAnsi="Symbol" w:cs="Cavolin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62"/>
    <w:rsid w:val="000F01B5"/>
    <w:rsid w:val="00115B2D"/>
    <w:rsid w:val="00951862"/>
    <w:rsid w:val="00BC7C36"/>
    <w:rsid w:val="00DA0F48"/>
    <w:rsid w:val="00ED4A37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239B"/>
  <w15:chartTrackingRefBased/>
  <w15:docId w15:val="{197A71F6-95FF-7345-8B9D-21B1FA1D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JAQUELINE AGUILAR RODRIGUEZ</dc:creator>
  <cp:keywords/>
  <dc:description/>
  <cp:lastModifiedBy>FERNANDA JAQUELINE AGUILAR RODRIGUEZ</cp:lastModifiedBy>
  <cp:revision>2</cp:revision>
  <dcterms:created xsi:type="dcterms:W3CDTF">2021-04-16T04:44:00Z</dcterms:created>
  <dcterms:modified xsi:type="dcterms:W3CDTF">2021-04-16T04:44:00Z</dcterms:modified>
</cp:coreProperties>
</file>