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D1228" w14:textId="77777777" w:rsidR="003675D6" w:rsidRDefault="003675D6">
      <w:r w:rsidRPr="00010B55">
        <w:rPr>
          <w:noProof/>
        </w:rPr>
        <w:drawing>
          <wp:anchor distT="0" distB="0" distL="114300" distR="114300" simplePos="0" relativeHeight="251659264" behindDoc="1" locked="0" layoutInCell="1" allowOverlap="1" wp14:anchorId="7DD705A8" wp14:editId="3D01049A">
            <wp:simplePos x="0" y="0"/>
            <wp:positionH relativeFrom="margin">
              <wp:align>center</wp:align>
            </wp:positionH>
            <wp:positionV relativeFrom="paragraph">
              <wp:posOffset>-630229</wp:posOffset>
            </wp:positionV>
            <wp:extent cx="2676429" cy="19901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676429" cy="1990165"/>
                    </a:xfrm>
                    <a:prstGeom prst="rect">
                      <a:avLst/>
                    </a:prstGeom>
                  </pic:spPr>
                </pic:pic>
              </a:graphicData>
            </a:graphic>
            <wp14:sizeRelH relativeFrom="margin">
              <wp14:pctWidth>0</wp14:pctWidth>
            </wp14:sizeRelH>
            <wp14:sizeRelV relativeFrom="margin">
              <wp14:pctHeight>0</wp14:pctHeight>
            </wp14:sizeRelV>
          </wp:anchor>
        </w:drawing>
      </w:r>
    </w:p>
    <w:p w14:paraId="1ECE70AF" w14:textId="77777777" w:rsidR="003675D6" w:rsidRDefault="003675D6"/>
    <w:p w14:paraId="70C5AF7B" w14:textId="77777777" w:rsidR="003675D6" w:rsidRDefault="003675D6"/>
    <w:p w14:paraId="6AE9ED94" w14:textId="77777777" w:rsidR="003675D6" w:rsidRDefault="003675D6"/>
    <w:p w14:paraId="2B4C3630" w14:textId="77777777" w:rsidR="003675D6" w:rsidRDefault="003675D6"/>
    <w:p w14:paraId="25C786D0" w14:textId="77777777" w:rsidR="003675D6" w:rsidRPr="003675D6" w:rsidRDefault="003675D6">
      <w:pPr>
        <w:rPr>
          <w:sz w:val="24"/>
          <w:szCs w:val="24"/>
        </w:rPr>
      </w:pPr>
    </w:p>
    <w:tbl>
      <w:tblPr>
        <w:tblpPr w:leftFromText="141" w:rightFromText="141" w:vertAnchor="text" w:horzAnchor="page" w:tblpX="2288" w:tblpY="-217"/>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3675D6" w:rsidRPr="003675D6" w14:paraId="70049AEA" w14:textId="77777777" w:rsidTr="003675D6">
        <w:trPr>
          <w:tblCellSpacing w:w="0" w:type="dxa"/>
        </w:trPr>
        <w:tc>
          <w:tcPr>
            <w:tcW w:w="0" w:type="auto"/>
            <w:tcBorders>
              <w:top w:val="nil"/>
              <w:left w:val="nil"/>
              <w:bottom w:val="nil"/>
              <w:right w:val="nil"/>
            </w:tcBorders>
            <w:hideMark/>
          </w:tcPr>
          <w:p w14:paraId="728B95F4" w14:textId="77777777" w:rsidR="003675D6" w:rsidRPr="003675D6" w:rsidRDefault="003675D6" w:rsidP="003675D6">
            <w:pPr>
              <w:spacing w:before="75" w:after="75" w:line="240" w:lineRule="auto"/>
              <w:jc w:val="both"/>
              <w:outlineLvl w:val="1"/>
              <w:rPr>
                <w:rFonts w:ascii="Footlight MT Light" w:eastAsia="Times New Roman" w:hAnsi="Footlight MT Light" w:cs="Arial"/>
                <w:color w:val="000000"/>
                <w:sz w:val="36"/>
                <w:szCs w:val="36"/>
                <w:lang w:eastAsia="es-AR"/>
              </w:rPr>
            </w:pPr>
          </w:p>
        </w:tc>
      </w:tr>
    </w:tbl>
    <w:p w14:paraId="7BB7E4C9" w14:textId="77777777" w:rsidR="003675D6" w:rsidRPr="003675D6" w:rsidRDefault="003675D6" w:rsidP="003675D6">
      <w:pPr>
        <w:jc w:val="center"/>
        <w:rPr>
          <w:sz w:val="48"/>
          <w:szCs w:val="48"/>
        </w:rPr>
      </w:pPr>
      <w:r w:rsidRPr="003675D6">
        <w:rPr>
          <w:rFonts w:ascii="Footlight MT Light" w:hAnsi="Footlight MT Light"/>
          <w:color w:val="00B0F0"/>
          <w:sz w:val="96"/>
          <w:szCs w:val="96"/>
        </w:rPr>
        <w:t>Escuela Normal de Educación Preescolar.</w:t>
      </w:r>
    </w:p>
    <w:p w14:paraId="58D0F4DE"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Lic. En Educación Preescolar.</w:t>
      </w:r>
    </w:p>
    <w:p w14:paraId="634EE09B"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CURSO: Estrategias para la exploración del mundo social.</w:t>
      </w:r>
    </w:p>
    <w:p w14:paraId="640B9317" w14:textId="77777777" w:rsidR="003675D6" w:rsidRPr="003675D6" w:rsidRDefault="003675D6" w:rsidP="003675D6">
      <w:pPr>
        <w:rPr>
          <w:rFonts w:ascii="Footlight MT Light" w:hAnsi="Footlight MT Light"/>
          <w:color w:val="00B0F0"/>
          <w:sz w:val="56"/>
          <w:szCs w:val="56"/>
        </w:rPr>
      </w:pPr>
    </w:p>
    <w:p w14:paraId="2B16D211" w14:textId="77777777" w:rsidR="003675D6" w:rsidRPr="003675D6" w:rsidRDefault="003675D6" w:rsidP="003675D6">
      <w:pPr>
        <w:rPr>
          <w:rFonts w:ascii="Footlight MT Light" w:hAnsi="Footlight MT Light"/>
          <w:color w:val="00B0F0"/>
          <w:sz w:val="56"/>
          <w:szCs w:val="56"/>
        </w:rPr>
      </w:pPr>
      <w:r w:rsidRPr="003675D6">
        <w:rPr>
          <w:rFonts w:ascii="Footlight MT Light" w:hAnsi="Footlight MT Light"/>
          <w:b/>
          <w:bCs/>
          <w:i/>
          <w:iCs/>
          <w:color w:val="00B0F0"/>
          <w:sz w:val="56"/>
          <w:szCs w:val="56"/>
        </w:rPr>
        <w:t xml:space="preserve"> </w:t>
      </w:r>
      <w:r w:rsidRPr="003675D6">
        <w:rPr>
          <w:rFonts w:ascii="Footlight MT Light" w:hAnsi="Footlight MT Light"/>
          <w:color w:val="00B0F0"/>
          <w:sz w:val="56"/>
          <w:szCs w:val="56"/>
        </w:rPr>
        <w:t xml:space="preserve"> DOCENTE:</w:t>
      </w:r>
      <w:r w:rsidRPr="003675D6">
        <w:rPr>
          <w:rFonts w:ascii="Verdana" w:hAnsi="Verdana"/>
          <w:color w:val="000000"/>
          <w:sz w:val="24"/>
          <w:szCs w:val="24"/>
        </w:rPr>
        <w:t xml:space="preserve"> </w:t>
      </w:r>
      <w:r w:rsidRPr="003675D6">
        <w:rPr>
          <w:rFonts w:ascii="Footlight MT Light" w:hAnsi="Footlight MT Light"/>
          <w:color w:val="00B0F0"/>
          <w:sz w:val="56"/>
          <w:szCs w:val="56"/>
        </w:rPr>
        <w:t>RAMIRO GARCIA ELIAS</w:t>
      </w:r>
    </w:p>
    <w:p w14:paraId="2585A18E"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ALUMNA: FATIMA CECILIA ALONSO ALVARADO. #2</w:t>
      </w:r>
    </w:p>
    <w:p w14:paraId="12939417" w14:textId="77777777" w:rsidR="003675D6" w:rsidRPr="003675D6" w:rsidRDefault="003675D6" w:rsidP="003675D6">
      <w:pPr>
        <w:jc w:val="center"/>
        <w:rPr>
          <w:rFonts w:ascii="Footlight MT Light" w:hAnsi="Footlight MT Light"/>
          <w:color w:val="00B0F0"/>
          <w:sz w:val="56"/>
          <w:szCs w:val="56"/>
        </w:rPr>
      </w:pPr>
      <w:r w:rsidRPr="003675D6">
        <w:rPr>
          <w:rFonts w:ascii="Footlight MT Light" w:hAnsi="Footlight MT Light"/>
          <w:color w:val="00B0F0"/>
          <w:sz w:val="56"/>
          <w:szCs w:val="56"/>
        </w:rPr>
        <w:t>2° A</w:t>
      </w:r>
    </w:p>
    <w:p w14:paraId="42A4DF1E" w14:textId="77777777" w:rsidR="003675D6" w:rsidRDefault="003675D6"/>
    <w:p w14:paraId="4A10548B" w14:textId="77777777" w:rsidR="003675D6" w:rsidRDefault="003675D6"/>
    <w:p w14:paraId="6F883FBF" w14:textId="77777777" w:rsidR="003675D6" w:rsidRDefault="003675D6"/>
    <w:p w14:paraId="590267C3" w14:textId="77777777" w:rsidR="003675D6" w:rsidRPr="003675D6" w:rsidRDefault="003675D6" w:rsidP="003675D6">
      <w:pPr>
        <w:jc w:val="center"/>
        <w:rPr>
          <w:rFonts w:ascii="Cavolini" w:hAnsi="Cavolini" w:cs="Cavolini"/>
          <w:sz w:val="52"/>
          <w:szCs w:val="52"/>
        </w:rPr>
      </w:pPr>
      <w:r w:rsidRPr="003675D6">
        <w:rPr>
          <w:rFonts w:ascii="Cavolini" w:hAnsi="Cavolini" w:cs="Cavolini"/>
          <w:sz w:val="52"/>
          <w:szCs w:val="52"/>
        </w:rPr>
        <w:lastRenderedPageBreak/>
        <w:t>Párrafo</w:t>
      </w:r>
    </w:p>
    <w:p w14:paraId="4C539AE7" w14:textId="77777777" w:rsidR="003675D6" w:rsidRDefault="003675D6" w:rsidP="003675D6">
      <w:pPr>
        <w:jc w:val="center"/>
        <w:rPr>
          <w:rFonts w:ascii="Cavolini" w:hAnsi="Cavolini" w:cs="Cavolini"/>
          <w:sz w:val="24"/>
          <w:szCs w:val="24"/>
        </w:rPr>
      </w:pPr>
      <w:r>
        <w:t xml:space="preserve"> </w:t>
      </w:r>
      <w:r w:rsidRPr="003675D6">
        <w:rPr>
          <w:rFonts w:ascii="Cavolini" w:hAnsi="Cavolini" w:cs="Cavolini"/>
          <w:sz w:val="24"/>
          <w:szCs w:val="24"/>
        </w:rPr>
        <w:t>4. Infancia y niños. Niñez e infancia. El momento en que ambas ideas o imágenes o discursos se separan, no coinciden, no se entrecruzan, ni siquiera se buscan para tejer alianzas vitales. Los niños son sujetos concretos, la infancia bien podría ser un estado, una condición, una duplicación que realizan los adultos sobre los niños. Porque los niños tienen rostros, edades, semblantes, gestos, acciones, días, noches, sueños, pesadillas, piernas, nombres. Cuando intentamos encajar a los niños a la infancia, algo, mucho, se pierde, se evapora. Pero cuando sustraemos a los niños de la infancia, también algo se pierde, algo se esfuma. Y en ambos casos permanece un cierto gesto de disgusto, de incomodidad, de dolor, de indiferencia.</w:t>
      </w:r>
    </w:p>
    <w:p w14:paraId="3E6A5B72" w14:textId="77777777" w:rsidR="003675D6" w:rsidRDefault="003675D6" w:rsidP="003675D6">
      <w:pPr>
        <w:jc w:val="center"/>
        <w:rPr>
          <w:rFonts w:ascii="Cavolini" w:hAnsi="Cavolini" w:cs="Cavolini"/>
          <w:sz w:val="24"/>
          <w:szCs w:val="24"/>
        </w:rPr>
      </w:pPr>
    </w:p>
    <w:p w14:paraId="114301DA" w14:textId="77777777" w:rsidR="003675D6" w:rsidRDefault="003675D6" w:rsidP="003675D6">
      <w:pPr>
        <w:jc w:val="center"/>
        <w:rPr>
          <w:rFonts w:ascii="Cavolini" w:hAnsi="Cavolini" w:cs="Cavolini"/>
          <w:sz w:val="52"/>
          <w:szCs w:val="52"/>
        </w:rPr>
      </w:pPr>
      <w:r>
        <w:rPr>
          <w:rFonts w:ascii="Cavolini" w:hAnsi="Cavolini" w:cs="Cavolini"/>
          <w:sz w:val="52"/>
          <w:szCs w:val="52"/>
        </w:rPr>
        <w:t>A</w:t>
      </w:r>
      <w:r w:rsidRPr="003675D6">
        <w:rPr>
          <w:rFonts w:ascii="Cavolini" w:hAnsi="Cavolini" w:cs="Cavolini"/>
          <w:sz w:val="52"/>
          <w:szCs w:val="52"/>
        </w:rPr>
        <w:t>nálisis</w:t>
      </w:r>
    </w:p>
    <w:p w14:paraId="6027F150" w14:textId="77777777" w:rsidR="00E2676B" w:rsidRDefault="00E2676B" w:rsidP="003675D6">
      <w:pPr>
        <w:jc w:val="center"/>
        <w:rPr>
          <w:rFonts w:ascii="Cavolini" w:hAnsi="Cavolini" w:cs="Cavolini"/>
          <w:sz w:val="28"/>
          <w:szCs w:val="28"/>
        </w:rPr>
      </w:pPr>
      <w:r>
        <w:rPr>
          <w:rFonts w:ascii="Cavolini" w:hAnsi="Cavolini" w:cs="Cavolini"/>
          <w:sz w:val="28"/>
          <w:szCs w:val="28"/>
        </w:rPr>
        <w:t>Los adultos son un doble de la infancia.</w:t>
      </w:r>
    </w:p>
    <w:p w14:paraId="52AACF14" w14:textId="40FA2C80" w:rsidR="003675D6" w:rsidRDefault="00E2676B" w:rsidP="003675D6">
      <w:pPr>
        <w:jc w:val="center"/>
        <w:rPr>
          <w:rFonts w:ascii="Cavolini" w:hAnsi="Cavolini" w:cs="Cavolini"/>
          <w:sz w:val="28"/>
          <w:szCs w:val="28"/>
        </w:rPr>
      </w:pPr>
      <w:r>
        <w:rPr>
          <w:rFonts w:ascii="Cavolini" w:hAnsi="Cavolini" w:cs="Cavolini"/>
          <w:sz w:val="28"/>
          <w:szCs w:val="28"/>
        </w:rPr>
        <w:t>Estos extraen a los niños de su infancia de una manera cruel y dolorosa y al momento de querer vivir de nuevo la infancia esta ya no será la misma ya que de una u otra manera se esfuma y permanecerá la mayor parte un disgusto y/o indiferencia en ellos o el resto de su vida.</w:t>
      </w:r>
    </w:p>
    <w:p w14:paraId="5889F6ED" w14:textId="3FD2D1E4" w:rsidR="00E2676B" w:rsidRDefault="00E2676B" w:rsidP="003675D6">
      <w:pPr>
        <w:jc w:val="center"/>
        <w:rPr>
          <w:rFonts w:ascii="Cavolini" w:hAnsi="Cavolini" w:cs="Cavolini"/>
          <w:sz w:val="28"/>
          <w:szCs w:val="28"/>
        </w:rPr>
      </w:pPr>
    </w:p>
    <w:p w14:paraId="15CAF1F8" w14:textId="2506C714" w:rsidR="00E2676B" w:rsidRDefault="00E2676B" w:rsidP="003675D6">
      <w:pPr>
        <w:jc w:val="center"/>
        <w:rPr>
          <w:rFonts w:ascii="Cavolini" w:hAnsi="Cavolini" w:cs="Cavolini"/>
          <w:sz w:val="52"/>
          <w:szCs w:val="52"/>
        </w:rPr>
      </w:pPr>
      <w:r>
        <w:rPr>
          <w:rFonts w:ascii="Cavolini" w:hAnsi="Cavolini" w:cs="Cavolini"/>
          <w:sz w:val="52"/>
          <w:szCs w:val="52"/>
        </w:rPr>
        <w:t>Ejemplo</w:t>
      </w:r>
    </w:p>
    <w:p w14:paraId="7666B720" w14:textId="6CA869CC" w:rsidR="00B85693" w:rsidRDefault="00E2676B" w:rsidP="003675D6">
      <w:pPr>
        <w:jc w:val="center"/>
        <w:rPr>
          <w:rFonts w:ascii="Cavolini" w:hAnsi="Cavolini" w:cs="Cavolini"/>
          <w:sz w:val="24"/>
          <w:szCs w:val="24"/>
        </w:rPr>
      </w:pPr>
      <w:r>
        <w:rPr>
          <w:rFonts w:ascii="Cavolini" w:hAnsi="Cavolini" w:cs="Cavolini"/>
          <w:sz w:val="24"/>
          <w:szCs w:val="24"/>
        </w:rPr>
        <w:t xml:space="preserve">Un ejemplo muy notorio es la infancia de hace </w:t>
      </w:r>
      <w:r w:rsidR="00B85693">
        <w:rPr>
          <w:rFonts w:ascii="Cavolini" w:hAnsi="Cavolini" w:cs="Cavolini"/>
          <w:sz w:val="24"/>
          <w:szCs w:val="24"/>
        </w:rPr>
        <w:t>10-12 años ya que antes la infancia se vivía jugando en las calles con los amigos de la cuadro o de la escuela y esta se disfrutaba con juegos típicos de la cultura o localidad y ahora la infancia se extrae por parte de los adultos ya que ahora prefieren que esta se viva por medio de aparatos tecnológicos.</w:t>
      </w:r>
    </w:p>
    <w:p w14:paraId="17A5A129" w14:textId="38CE8270" w:rsidR="00B85693" w:rsidRDefault="00B85693" w:rsidP="003675D6">
      <w:pPr>
        <w:jc w:val="center"/>
        <w:rPr>
          <w:rFonts w:ascii="Cavolini" w:hAnsi="Cavolini" w:cs="Cavolini"/>
          <w:sz w:val="52"/>
          <w:szCs w:val="52"/>
        </w:rPr>
      </w:pPr>
      <w:r>
        <w:rPr>
          <w:rFonts w:ascii="Cavolini" w:hAnsi="Cavolini" w:cs="Cavolini"/>
          <w:sz w:val="52"/>
          <w:szCs w:val="52"/>
        </w:rPr>
        <w:lastRenderedPageBreak/>
        <w:t>Pregunta</w:t>
      </w:r>
    </w:p>
    <w:p w14:paraId="1EB4A284" w14:textId="77777777" w:rsidR="00B85693" w:rsidRDefault="00B85693" w:rsidP="003675D6">
      <w:pPr>
        <w:jc w:val="center"/>
        <w:rPr>
          <w:rFonts w:ascii="Cavolini" w:hAnsi="Cavolini" w:cs="Cavolini"/>
          <w:sz w:val="24"/>
          <w:szCs w:val="24"/>
        </w:rPr>
      </w:pPr>
      <w:r>
        <w:rPr>
          <w:rFonts w:ascii="Cavolini" w:hAnsi="Cavolini" w:cs="Cavolini"/>
          <w:sz w:val="24"/>
          <w:szCs w:val="24"/>
        </w:rPr>
        <w:t>¿Por qué se considera que al momento de que la niñez y la infancia se extraen permanecerá un gesto de disgusto?</w:t>
      </w:r>
    </w:p>
    <w:p w14:paraId="16BC0F14" w14:textId="6DF658AC" w:rsidR="00E2676B" w:rsidRPr="00E2676B" w:rsidRDefault="00B85693" w:rsidP="003675D6">
      <w:pPr>
        <w:jc w:val="center"/>
        <w:rPr>
          <w:rFonts w:ascii="Cavolini" w:hAnsi="Cavolini" w:cs="Cavolini"/>
          <w:sz w:val="24"/>
          <w:szCs w:val="24"/>
        </w:rPr>
      </w:pPr>
      <w:bookmarkStart w:id="0" w:name="_GoBack"/>
      <w:bookmarkEnd w:id="0"/>
      <w:r>
        <w:rPr>
          <w:rFonts w:ascii="Cavolini" w:hAnsi="Cavolini" w:cs="Cavolini"/>
          <w:sz w:val="24"/>
          <w:szCs w:val="24"/>
        </w:rPr>
        <w:t xml:space="preserve"> </w:t>
      </w:r>
    </w:p>
    <w:sectPr w:rsidR="00E2676B" w:rsidRPr="00E2676B" w:rsidSect="003675D6">
      <w:pgSz w:w="12240" w:h="15840" w:code="1"/>
      <w:pgMar w:top="1417" w:right="1701" w:bottom="1417"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D6"/>
    <w:rsid w:val="003675D6"/>
    <w:rsid w:val="00736FA7"/>
    <w:rsid w:val="00B85693"/>
    <w:rsid w:val="00E267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9EB0"/>
  <w15:chartTrackingRefBased/>
  <w15:docId w15:val="{F127ECE6-C788-403C-AD59-883158C3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B6B6B6"/>
      </a:dk1>
      <a:lt1>
        <a:sysClr val="window" lastClr="1B1B1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Weasley</dc:creator>
  <cp:keywords/>
  <dc:description/>
  <cp:lastModifiedBy>Administrador</cp:lastModifiedBy>
  <cp:revision>2</cp:revision>
  <dcterms:created xsi:type="dcterms:W3CDTF">2021-04-16T03:52:00Z</dcterms:created>
  <dcterms:modified xsi:type="dcterms:W3CDTF">2021-04-16T03:52:00Z</dcterms:modified>
</cp:coreProperties>
</file>