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EBD3" w14:textId="5785F1FD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lastRenderedPageBreak/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Paulina García 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lastRenderedPageBreak/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lastRenderedPageBreak/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4B051D81" w14:textId="100A642F" w:rsidR="008E33AF" w:rsidRDefault="00920E06" w:rsidP="008E33AF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79B20C8D" w14:textId="33896FE0" w:rsidR="008E33AF" w:rsidRPr="008E33AF" w:rsidRDefault="008E33AF" w:rsidP="008E33AF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8E33AF">
        <w:rPr>
          <w:rFonts w:ascii="Berlin Sans FB" w:hAnsi="Berlin Sans FB"/>
          <w:color w:val="DF51E2"/>
          <w:sz w:val="36"/>
          <w:szCs w:val="36"/>
        </w:rPr>
        <w:t>https://aulainvertidaventajas.blogspot.com/2021/04/ventajas-del-aula-invertida.html</w:t>
      </w:r>
    </w:p>
    <w:p w14:paraId="31B1F7F7" w14:textId="4E45D572" w:rsidR="00156F8A" w:rsidRDefault="00156F8A" w:rsidP="00156F8A">
      <w:pPr>
        <w:jc w:val="center"/>
      </w:pPr>
    </w:p>
    <w:sectPr w:rsidR="001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INGFANG HK ULTRA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49E3"/>
      </v:shape>
    </w:pict>
  </w:numPicBullet>
  <w:abstractNum w:abstractNumId="0" w15:restartNumberingAfterBreak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A"/>
    <w:rsid w:val="00156F8A"/>
    <w:rsid w:val="006724D2"/>
    <w:rsid w:val="008E33AF"/>
    <w:rsid w:val="00920E06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ANDREA ELIZABETH AGUIRRE RODRIGUEZ</cp:lastModifiedBy>
  <cp:revision>2</cp:revision>
  <dcterms:created xsi:type="dcterms:W3CDTF">2021-04-13T17:58:00Z</dcterms:created>
  <dcterms:modified xsi:type="dcterms:W3CDTF">2021-04-19T02:20:00Z</dcterms:modified>
</cp:coreProperties>
</file>