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sz w:val="24"/>
          <w:szCs w:val="24"/>
          <w:rtl w:val="0"/>
        </w:rPr>
        <w:t xml:space="preserve">Se analizan las diferentes teorías acerca del desarrollo del niño, comparando los planteamientos de autores para explicar las coincidencias ejemplificando entre las diferentes perspectivas; social, cognitiva y psicoanalítica.</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Las bases teóricas de las habilidades socioemocionales permiten hacer un análisis a partir de los enfoques de las etapas del desarrollo en el que se consideran los cursos anteriores dando énfasis en aprender a explicar las conductas y emociones que presentan los estudiantes de preescolar.</w:t>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Desde una perspectiva social, cognitiva y psicoanalítica se pueden observar coincidencias puesto que el sujeto se desenvuelve dentro de una sociedad en constante interacción, aprendizaje y desarrollo. </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En la perspectiva social se observan interacciones apropiadas, el estudio del desarrollo del niño.</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En cada etapa, la persona se enfrenta y domina nuevos retos en torno a la persona y el medio.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En la perspectiva cognitiva se observa la interacción con objetos, estudios que reflejan el nivel evolutivo del niño y la relación entre la inteligencia.</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Se describen las diferencias sustanciales que se dan en el modo de razonar a medida que el ser humano va creciendo. </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En la perspectiva psicoanalítica se observa la relación entre la mente, el análisis y la observación directa.</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Requiere de un ciclo motivador en situaciones que caracterizan al ser humano en donde el desarrollo es complejo para ser capaz de expresar deseos y angustias dirigiendo en gran medida la actitud.</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Por lo que cada uno integra los recursos para sustentar teóricamente el estado de desarrollo de las habilidades socioemocionales para el reconocimiento de sí mismo, las relaciones que construye con la familia y la edificación con el mundo fuera de su familia. Además cada etapa se basa en el éxito de las etapas anteriores y culminar las con un desarrollo sano.</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