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82" w:rsidRDefault="001F7582" w:rsidP="001F7582">
      <w:pPr>
        <w:spacing w:after="160" w:line="259" w:lineRule="auto"/>
        <w:jc w:val="center"/>
        <w:rPr>
          <w:rFonts w:ascii="Times New Roman" w:hAnsi="Times New Roman" w:cs="Times New Roman"/>
          <w:sz w:val="32"/>
          <w:szCs w:val="24"/>
        </w:rPr>
      </w:pPr>
      <w:r w:rsidRPr="00D67D43">
        <w:rPr>
          <w:rFonts w:ascii="Times New Roman" w:hAnsi="Times New Roman" w:cs="Times New Roman"/>
          <w:noProof/>
          <w:sz w:val="32"/>
          <w:szCs w:val="24"/>
          <w:lang w:eastAsia="es-MX"/>
        </w:rPr>
        <w:drawing>
          <wp:anchor distT="0" distB="0" distL="114300" distR="114300" simplePos="0" relativeHeight="251660288" behindDoc="0" locked="0" layoutInCell="1" allowOverlap="1">
            <wp:simplePos x="0" y="0"/>
            <wp:positionH relativeFrom="margin">
              <wp:posOffset>-671195</wp:posOffset>
            </wp:positionH>
            <wp:positionV relativeFrom="margin">
              <wp:align>top</wp:align>
            </wp:positionV>
            <wp:extent cx="923925" cy="11049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rotWithShape="1">
                    <a:blip r:embed="rId5">
                      <a:extLst>
                        <a:ext uri="{28A0092B-C50C-407E-A947-70E740481C1C}">
                          <a14:useLocalDpi xmlns:a14="http://schemas.microsoft.com/office/drawing/2010/main" val="0"/>
                        </a:ext>
                      </a:extLst>
                    </a:blip>
                    <a:srcRect l="21154" r="16667"/>
                    <a:stretch/>
                  </pic:blipFill>
                  <pic:spPr bwMode="auto">
                    <a:xfrm>
                      <a:off x="0" y="0"/>
                      <a:ext cx="92392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7D43">
        <w:rPr>
          <w:rFonts w:ascii="Times New Roman" w:hAnsi="Times New Roman" w:cs="Times New Roman"/>
          <w:sz w:val="32"/>
          <w:szCs w:val="24"/>
        </w:rPr>
        <w:t>ESCUELA NORMAL DE EDUCACION PREESCOLAR</w:t>
      </w:r>
    </w:p>
    <w:p w:rsidR="002E576E" w:rsidRPr="00D67D43" w:rsidRDefault="002E576E" w:rsidP="001F7582">
      <w:pPr>
        <w:spacing w:after="160" w:line="259" w:lineRule="auto"/>
        <w:jc w:val="center"/>
        <w:rPr>
          <w:rFonts w:ascii="Times New Roman" w:hAnsi="Times New Roman" w:cs="Times New Roman"/>
          <w:sz w:val="32"/>
          <w:szCs w:val="24"/>
        </w:rPr>
      </w:pPr>
    </w:p>
    <w:p w:rsidR="00D67D43" w:rsidRDefault="00D67D43" w:rsidP="001F7582">
      <w:pPr>
        <w:spacing w:after="160" w:line="259" w:lineRule="auto"/>
        <w:jc w:val="center"/>
        <w:rPr>
          <w:rFonts w:ascii="Times New Roman" w:hAnsi="Times New Roman" w:cs="Times New Roman"/>
          <w:sz w:val="32"/>
          <w:szCs w:val="24"/>
        </w:rPr>
      </w:pPr>
      <w:r w:rsidRPr="00D67D43">
        <w:rPr>
          <w:rFonts w:ascii="Times New Roman" w:hAnsi="Times New Roman" w:cs="Times New Roman"/>
          <w:sz w:val="32"/>
          <w:szCs w:val="24"/>
        </w:rPr>
        <w:t>LICENCIATURA EN EDUCACION PREESCOLAR</w:t>
      </w:r>
    </w:p>
    <w:p w:rsidR="002E576E" w:rsidRDefault="002E576E" w:rsidP="001F7582">
      <w:pPr>
        <w:spacing w:after="160" w:line="259" w:lineRule="auto"/>
        <w:jc w:val="center"/>
        <w:rPr>
          <w:rFonts w:ascii="Times New Roman" w:hAnsi="Times New Roman" w:cs="Times New Roman"/>
          <w:sz w:val="32"/>
          <w:szCs w:val="24"/>
        </w:rPr>
      </w:pPr>
    </w:p>
    <w:p w:rsidR="002E576E" w:rsidRDefault="002E576E" w:rsidP="002E576E">
      <w:pPr>
        <w:spacing w:before="75" w:after="75" w:line="240" w:lineRule="auto"/>
        <w:jc w:val="center"/>
        <w:outlineLvl w:val="1"/>
        <w:rPr>
          <w:rFonts w:ascii="Times New Roman" w:eastAsia="Times New Roman" w:hAnsi="Times New Roman" w:cs="Times New Roman"/>
          <w:bCs/>
          <w:iCs/>
          <w:color w:val="000000"/>
          <w:sz w:val="32"/>
          <w:szCs w:val="32"/>
          <w:lang w:eastAsia="es-MX"/>
        </w:rPr>
      </w:pPr>
      <w:r w:rsidRPr="002E576E">
        <w:rPr>
          <w:rFonts w:ascii="Times New Roman" w:eastAsia="Times New Roman" w:hAnsi="Times New Roman" w:cs="Times New Roman"/>
          <w:bCs/>
          <w:iCs/>
          <w:color w:val="000000"/>
          <w:sz w:val="32"/>
          <w:szCs w:val="32"/>
          <w:lang w:eastAsia="es-MX"/>
        </w:rPr>
        <w:t>OBSERVACIÓN Y ANÁLISIS DE PRÁCTICAS Y CONTEXTOS</w:t>
      </w:r>
      <w:r w:rsidRPr="002E576E">
        <w:rPr>
          <w:rFonts w:ascii="Times New Roman" w:eastAsia="Times New Roman" w:hAnsi="Times New Roman" w:cs="Times New Roman"/>
          <w:b/>
          <w:bCs/>
          <w:i/>
          <w:iCs/>
          <w:color w:val="000000"/>
          <w:sz w:val="32"/>
          <w:szCs w:val="32"/>
          <w:lang w:eastAsia="es-MX"/>
        </w:rPr>
        <w:t xml:space="preserve"> </w:t>
      </w:r>
      <w:r w:rsidRPr="002E576E">
        <w:rPr>
          <w:rFonts w:ascii="Times New Roman" w:eastAsia="Times New Roman" w:hAnsi="Times New Roman" w:cs="Times New Roman"/>
          <w:bCs/>
          <w:iCs/>
          <w:color w:val="000000"/>
          <w:sz w:val="32"/>
          <w:szCs w:val="32"/>
          <w:lang w:eastAsia="es-MX"/>
        </w:rPr>
        <w:t>ESCOLARES</w:t>
      </w:r>
    </w:p>
    <w:p w:rsidR="002E576E" w:rsidRPr="002E576E" w:rsidRDefault="002E576E" w:rsidP="002E576E">
      <w:pPr>
        <w:spacing w:before="75" w:after="75" w:line="240" w:lineRule="auto"/>
        <w:jc w:val="center"/>
        <w:outlineLvl w:val="1"/>
        <w:rPr>
          <w:rFonts w:ascii="Times New Roman" w:eastAsia="Times New Roman" w:hAnsi="Times New Roman" w:cs="Times New Roman"/>
          <w:bCs/>
          <w:iCs/>
          <w:color w:val="000000"/>
          <w:sz w:val="32"/>
          <w:szCs w:val="32"/>
          <w:lang w:eastAsia="es-MX"/>
        </w:rPr>
      </w:pPr>
    </w:p>
    <w:p w:rsidR="002E576E" w:rsidRDefault="002E576E" w:rsidP="002E576E">
      <w:pPr>
        <w:spacing w:before="75" w:after="75" w:line="240" w:lineRule="auto"/>
        <w:jc w:val="center"/>
        <w:outlineLvl w:val="1"/>
        <w:rPr>
          <w:rFonts w:ascii="Times New Roman" w:eastAsia="Times New Roman" w:hAnsi="Times New Roman" w:cs="Times New Roman"/>
          <w:bCs/>
          <w:iCs/>
          <w:color w:val="000000"/>
          <w:sz w:val="32"/>
          <w:szCs w:val="32"/>
          <w:lang w:eastAsia="es-MX"/>
        </w:rPr>
      </w:pPr>
      <w:r w:rsidRPr="002E576E">
        <w:rPr>
          <w:rFonts w:ascii="Times New Roman" w:eastAsia="Times New Roman" w:hAnsi="Times New Roman" w:cs="Times New Roman"/>
          <w:bCs/>
          <w:iCs/>
          <w:color w:val="000000"/>
          <w:sz w:val="32"/>
          <w:szCs w:val="32"/>
          <w:lang w:eastAsia="es-MX"/>
        </w:rPr>
        <w:t>“CRONICA”</w:t>
      </w:r>
    </w:p>
    <w:p w:rsidR="002E576E" w:rsidRPr="002E576E" w:rsidRDefault="002E576E" w:rsidP="002E576E">
      <w:pPr>
        <w:spacing w:before="75" w:after="75" w:line="240" w:lineRule="auto"/>
        <w:jc w:val="center"/>
        <w:outlineLvl w:val="1"/>
        <w:rPr>
          <w:rFonts w:ascii="Times New Roman" w:eastAsia="Times New Roman" w:hAnsi="Times New Roman" w:cs="Times New Roman"/>
          <w:b/>
          <w:bCs/>
          <w:i/>
          <w:iCs/>
          <w:color w:val="000000"/>
          <w:sz w:val="32"/>
          <w:szCs w:val="32"/>
          <w:lang w:eastAsia="es-MX"/>
        </w:rPr>
      </w:pPr>
    </w:p>
    <w:p w:rsidR="00D67D43" w:rsidRDefault="002E576E" w:rsidP="001F7582">
      <w:pPr>
        <w:spacing w:after="160" w:line="259" w:lineRule="auto"/>
        <w:jc w:val="center"/>
        <w:rPr>
          <w:rFonts w:ascii="Times New Roman" w:hAnsi="Times New Roman" w:cs="Times New Roman"/>
          <w:sz w:val="32"/>
          <w:szCs w:val="24"/>
        </w:rPr>
      </w:pPr>
      <w:r>
        <w:rPr>
          <w:rFonts w:ascii="Times New Roman" w:hAnsi="Times New Roman" w:cs="Times New Roman"/>
          <w:sz w:val="32"/>
          <w:szCs w:val="24"/>
        </w:rPr>
        <w:t xml:space="preserve">Alumna: </w:t>
      </w:r>
      <w:r w:rsidRPr="002E576E">
        <w:rPr>
          <w:rFonts w:ascii="Times New Roman" w:hAnsi="Times New Roman" w:cs="Times New Roman"/>
          <w:sz w:val="32"/>
          <w:szCs w:val="24"/>
        </w:rPr>
        <w:t xml:space="preserve">Valeria </w:t>
      </w:r>
      <w:proofErr w:type="spellStart"/>
      <w:r w:rsidRPr="002E576E">
        <w:rPr>
          <w:rFonts w:ascii="Times New Roman" w:hAnsi="Times New Roman" w:cs="Times New Roman"/>
          <w:sz w:val="32"/>
          <w:szCs w:val="24"/>
        </w:rPr>
        <w:t>Karely</w:t>
      </w:r>
      <w:proofErr w:type="spellEnd"/>
      <w:r w:rsidRPr="002E576E">
        <w:rPr>
          <w:rFonts w:ascii="Times New Roman" w:hAnsi="Times New Roman" w:cs="Times New Roman"/>
          <w:sz w:val="32"/>
          <w:szCs w:val="24"/>
        </w:rPr>
        <w:t xml:space="preserve"> Zamarripa Garza</w:t>
      </w:r>
    </w:p>
    <w:p w:rsidR="002E576E" w:rsidRPr="002E576E" w:rsidRDefault="002E576E" w:rsidP="001F7582">
      <w:pPr>
        <w:spacing w:after="160" w:line="259" w:lineRule="auto"/>
        <w:jc w:val="center"/>
        <w:rPr>
          <w:rFonts w:ascii="Times New Roman" w:hAnsi="Times New Roman" w:cs="Times New Roman"/>
          <w:sz w:val="32"/>
          <w:szCs w:val="24"/>
        </w:rPr>
      </w:pPr>
    </w:p>
    <w:p w:rsidR="001F7582" w:rsidRDefault="002E576E" w:rsidP="002E576E">
      <w:pPr>
        <w:spacing w:after="160" w:line="259" w:lineRule="auto"/>
        <w:jc w:val="center"/>
        <w:rPr>
          <w:rFonts w:ascii="Times New Roman" w:hAnsi="Times New Roman" w:cs="Times New Roman"/>
          <w:sz w:val="32"/>
          <w:szCs w:val="24"/>
        </w:rPr>
      </w:pPr>
      <w:r>
        <w:rPr>
          <w:rFonts w:ascii="Times New Roman" w:hAnsi="Times New Roman" w:cs="Times New Roman"/>
          <w:sz w:val="32"/>
          <w:szCs w:val="24"/>
        </w:rPr>
        <w:t xml:space="preserve">Docente: </w:t>
      </w:r>
      <w:r w:rsidRPr="002E576E">
        <w:rPr>
          <w:rFonts w:ascii="Times New Roman" w:hAnsi="Times New Roman" w:cs="Times New Roman"/>
          <w:sz w:val="32"/>
          <w:szCs w:val="24"/>
        </w:rPr>
        <w:t xml:space="preserve">María </w:t>
      </w:r>
      <w:proofErr w:type="spellStart"/>
      <w:r w:rsidRPr="002E576E">
        <w:rPr>
          <w:rFonts w:ascii="Times New Roman" w:hAnsi="Times New Roman" w:cs="Times New Roman"/>
          <w:sz w:val="32"/>
          <w:szCs w:val="24"/>
        </w:rPr>
        <w:t>Efigenia</w:t>
      </w:r>
      <w:proofErr w:type="spellEnd"/>
      <w:r w:rsidRPr="002E576E">
        <w:rPr>
          <w:rFonts w:ascii="Times New Roman" w:hAnsi="Times New Roman" w:cs="Times New Roman"/>
          <w:sz w:val="32"/>
          <w:szCs w:val="24"/>
        </w:rPr>
        <w:t xml:space="preserve"> Maury Arredondo </w:t>
      </w:r>
    </w:p>
    <w:p w:rsidR="002E576E" w:rsidRDefault="002E576E" w:rsidP="002E576E">
      <w:pPr>
        <w:spacing w:after="160" w:line="259" w:lineRule="auto"/>
        <w:jc w:val="center"/>
        <w:rPr>
          <w:rFonts w:ascii="Times New Roman" w:hAnsi="Times New Roman" w:cs="Times New Roman"/>
          <w:sz w:val="32"/>
          <w:szCs w:val="24"/>
        </w:rPr>
      </w:pPr>
    </w:p>
    <w:p w:rsidR="002E576E" w:rsidRDefault="002E576E" w:rsidP="002E576E">
      <w:pPr>
        <w:spacing w:after="160" w:line="259" w:lineRule="auto"/>
        <w:jc w:val="center"/>
        <w:rPr>
          <w:rFonts w:ascii="Times New Roman" w:hAnsi="Times New Roman" w:cs="Times New Roman"/>
          <w:sz w:val="32"/>
          <w:szCs w:val="24"/>
        </w:rPr>
      </w:pPr>
    </w:p>
    <w:p w:rsidR="002E576E" w:rsidRDefault="002E576E" w:rsidP="002E576E">
      <w:pPr>
        <w:spacing w:after="160" w:line="259" w:lineRule="auto"/>
        <w:jc w:val="center"/>
        <w:rPr>
          <w:rFonts w:ascii="Times New Roman" w:hAnsi="Times New Roman" w:cs="Times New Roman"/>
          <w:sz w:val="32"/>
          <w:szCs w:val="24"/>
        </w:rPr>
      </w:pPr>
    </w:p>
    <w:p w:rsidR="002E576E" w:rsidRDefault="002E576E" w:rsidP="002E576E">
      <w:pPr>
        <w:spacing w:after="160" w:line="259" w:lineRule="auto"/>
        <w:jc w:val="center"/>
        <w:rPr>
          <w:rFonts w:ascii="Times New Roman" w:hAnsi="Times New Roman" w:cs="Times New Roman"/>
          <w:sz w:val="32"/>
          <w:szCs w:val="24"/>
        </w:rPr>
      </w:pPr>
      <w:r>
        <w:rPr>
          <w:rFonts w:ascii="Times New Roman" w:hAnsi="Times New Roman" w:cs="Times New Roman"/>
          <w:sz w:val="32"/>
          <w:szCs w:val="24"/>
        </w:rPr>
        <w:t xml:space="preserve">25/04/2021   </w:t>
      </w:r>
    </w:p>
    <w:p w:rsidR="002E576E" w:rsidRPr="002E576E" w:rsidRDefault="002E576E" w:rsidP="002E576E">
      <w:pPr>
        <w:spacing w:after="160" w:line="259" w:lineRule="auto"/>
        <w:jc w:val="right"/>
        <w:rPr>
          <w:rFonts w:ascii="Times New Roman" w:hAnsi="Times New Roman" w:cs="Times New Roman"/>
          <w:sz w:val="32"/>
          <w:szCs w:val="24"/>
        </w:rPr>
      </w:pPr>
      <w:r>
        <w:rPr>
          <w:rFonts w:ascii="Times New Roman" w:hAnsi="Times New Roman" w:cs="Times New Roman"/>
          <w:sz w:val="32"/>
          <w:szCs w:val="24"/>
        </w:rPr>
        <w:t>Saltillo, Coahuila.</w:t>
      </w:r>
    </w:p>
    <w:p w:rsidR="001F7582" w:rsidRDefault="001F7582">
      <w:pPr>
        <w:spacing w:after="160" w:line="259" w:lineRule="auto"/>
        <w:rPr>
          <w:rFonts w:ascii="Times New Roman" w:hAnsi="Times New Roman" w:cs="Times New Roman"/>
          <w:b/>
          <w:sz w:val="32"/>
          <w:szCs w:val="24"/>
        </w:rPr>
      </w:pPr>
    </w:p>
    <w:p w:rsidR="002E576E" w:rsidRDefault="002E576E" w:rsidP="002E576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lastRenderedPageBreak/>
        <w:t>“COVID 19 CAMBIA LA VIDA DEL MUNDO”</w:t>
      </w:r>
    </w:p>
    <w:p w:rsidR="00E40CBD" w:rsidRPr="00B662AB" w:rsidRDefault="00E40CBD" w:rsidP="00B662AB">
      <w:pPr>
        <w:spacing w:after="160" w:line="360" w:lineRule="auto"/>
        <w:rPr>
          <w:rFonts w:cstheme="minorHAnsi"/>
          <w:sz w:val="28"/>
          <w:szCs w:val="28"/>
          <w:shd w:val="clear" w:color="auto" w:fill="FFFFFF"/>
        </w:rPr>
      </w:pPr>
      <w:r w:rsidRPr="00B662AB">
        <w:rPr>
          <w:rFonts w:cstheme="minorHAnsi"/>
          <w:sz w:val="28"/>
          <w:szCs w:val="28"/>
          <w:shd w:val="clear" w:color="auto" w:fill="FFFFFF"/>
        </w:rPr>
        <w:t xml:space="preserve">El primer </w:t>
      </w:r>
      <w:r w:rsidR="00EB4916" w:rsidRPr="00B662AB">
        <w:rPr>
          <w:rFonts w:cstheme="minorHAnsi"/>
          <w:sz w:val="28"/>
          <w:szCs w:val="28"/>
          <w:shd w:val="clear" w:color="auto" w:fill="FFFFFF"/>
        </w:rPr>
        <w:t>brote de enferme</w:t>
      </w:r>
      <w:r w:rsidRPr="00B662AB">
        <w:rPr>
          <w:rFonts w:cstheme="minorHAnsi"/>
          <w:sz w:val="28"/>
          <w:szCs w:val="28"/>
          <w:shd w:val="clear" w:color="auto" w:fill="FFFFFF"/>
        </w:rPr>
        <w:t xml:space="preserve">dad por coronavirus (COVID-19) </w:t>
      </w:r>
      <w:r w:rsidR="00EB4916" w:rsidRPr="00B662AB">
        <w:rPr>
          <w:rFonts w:cstheme="minorHAnsi"/>
          <w:sz w:val="28"/>
          <w:szCs w:val="28"/>
          <w:shd w:val="clear" w:color="auto" w:fill="FFFFFF"/>
        </w:rPr>
        <w:t xml:space="preserve"> fue notificado por primera vez en Wuhan (China) el 31 de diciembre de 2019</w:t>
      </w:r>
      <w:r w:rsidRPr="00B662AB">
        <w:rPr>
          <w:rFonts w:cstheme="minorHAnsi"/>
          <w:sz w:val="28"/>
          <w:szCs w:val="28"/>
          <w:shd w:val="clear" w:color="auto" w:fill="FFFFFF"/>
        </w:rPr>
        <w:t>.</w:t>
      </w:r>
    </w:p>
    <w:p w:rsidR="002E576E" w:rsidRPr="00B662AB" w:rsidRDefault="002E576E" w:rsidP="00B662AB">
      <w:pPr>
        <w:spacing w:after="160" w:line="360" w:lineRule="auto"/>
        <w:rPr>
          <w:rFonts w:cstheme="minorHAnsi"/>
          <w:sz w:val="28"/>
          <w:szCs w:val="28"/>
        </w:rPr>
      </w:pPr>
      <w:r w:rsidRPr="00B662AB">
        <w:rPr>
          <w:rFonts w:cstheme="minorHAnsi"/>
          <w:sz w:val="28"/>
          <w:szCs w:val="28"/>
        </w:rPr>
        <w:t xml:space="preserve">El 30 de marzo </w:t>
      </w:r>
      <w:r w:rsidR="00E40CBD" w:rsidRPr="00B662AB">
        <w:rPr>
          <w:rFonts w:cstheme="minorHAnsi"/>
          <w:sz w:val="28"/>
          <w:szCs w:val="28"/>
        </w:rPr>
        <w:t xml:space="preserve">de 2020 </w:t>
      </w:r>
      <w:r w:rsidRPr="00B662AB">
        <w:rPr>
          <w:rFonts w:cstheme="minorHAnsi"/>
          <w:sz w:val="28"/>
          <w:szCs w:val="28"/>
        </w:rPr>
        <w:t xml:space="preserve">se declaró </w:t>
      </w:r>
      <w:r w:rsidRPr="00B662AB">
        <w:rPr>
          <w:rFonts w:cstheme="minorHAnsi"/>
          <w:sz w:val="28"/>
          <w:szCs w:val="28"/>
        </w:rPr>
        <w:t>emergencia sani</w:t>
      </w:r>
      <w:r w:rsidRPr="00B662AB">
        <w:rPr>
          <w:rFonts w:cstheme="minorHAnsi"/>
          <w:sz w:val="28"/>
          <w:szCs w:val="28"/>
        </w:rPr>
        <w:t>taria por causa de fuerza mayor</w:t>
      </w:r>
      <w:r w:rsidRPr="00B662AB">
        <w:rPr>
          <w:rFonts w:cstheme="minorHAnsi"/>
          <w:sz w:val="28"/>
          <w:szCs w:val="28"/>
        </w:rPr>
        <w:t xml:space="preserve"> como consecuencia de la evolución de casos confirmados y muertes por la enfermedad en el país</w:t>
      </w:r>
      <w:r w:rsidRPr="00B662AB">
        <w:rPr>
          <w:rFonts w:cstheme="minorHAnsi"/>
          <w:sz w:val="28"/>
          <w:szCs w:val="28"/>
        </w:rPr>
        <w:t xml:space="preserve"> (COVID-19)</w:t>
      </w:r>
      <w:r w:rsidRPr="00B662AB">
        <w:rPr>
          <w:rFonts w:cstheme="minorHAnsi"/>
          <w:sz w:val="28"/>
          <w:szCs w:val="28"/>
        </w:rPr>
        <w:t>, lo cual dio lugar a la ejecución de acciones adicionales para su prevención y control,</w:t>
      </w:r>
      <w:r w:rsidR="00DB3E87" w:rsidRPr="00B662AB">
        <w:rPr>
          <w:rFonts w:cstheme="minorHAnsi"/>
          <w:sz w:val="28"/>
          <w:szCs w:val="28"/>
        </w:rPr>
        <w:t xml:space="preserve"> </w:t>
      </w:r>
      <w:r w:rsidRPr="00B662AB">
        <w:rPr>
          <w:rFonts w:cstheme="minorHAnsi"/>
          <w:sz w:val="28"/>
          <w:szCs w:val="28"/>
        </w:rPr>
        <w:t xml:space="preserve">11​ y el 21 de abril dio comienzo la fase 3, mediante la cual se </w:t>
      </w:r>
      <w:r w:rsidRPr="00B662AB">
        <w:rPr>
          <w:rFonts w:cstheme="minorHAnsi"/>
          <w:sz w:val="28"/>
          <w:szCs w:val="28"/>
        </w:rPr>
        <w:t>extendieron</w:t>
      </w:r>
      <w:r w:rsidRPr="00B662AB">
        <w:rPr>
          <w:rFonts w:cstheme="minorHAnsi"/>
          <w:sz w:val="28"/>
          <w:szCs w:val="28"/>
        </w:rPr>
        <w:t xml:space="preserve"> las actividades de prevención y control realizadas en las anteriores fases al menos hasta mediados o finales de mayo.</w:t>
      </w:r>
    </w:p>
    <w:p w:rsidR="001F7582" w:rsidRPr="00B662AB" w:rsidRDefault="002E576E" w:rsidP="00B662AB">
      <w:pPr>
        <w:spacing w:after="160" w:line="360" w:lineRule="auto"/>
        <w:rPr>
          <w:rFonts w:cstheme="minorHAnsi"/>
          <w:sz w:val="28"/>
          <w:szCs w:val="28"/>
        </w:rPr>
      </w:pPr>
      <w:r w:rsidRPr="00B662AB">
        <w:rPr>
          <w:rFonts w:cstheme="minorHAnsi"/>
          <w:sz w:val="28"/>
          <w:szCs w:val="28"/>
        </w:rPr>
        <w:t>Algunos efectos que ha tenido la pandemia en México incluyen la generación de compras de pánico y saqueos de establecimientos, que a su vez ha conducido al eventual desabasto de productos de l</w:t>
      </w:r>
      <w:r w:rsidRPr="00B662AB">
        <w:rPr>
          <w:rFonts w:cstheme="minorHAnsi"/>
          <w:sz w:val="28"/>
          <w:szCs w:val="28"/>
        </w:rPr>
        <w:t>impieza e higiene personal;</w:t>
      </w:r>
      <w:r w:rsidRPr="00B662AB">
        <w:rPr>
          <w:rFonts w:cstheme="minorHAnsi"/>
          <w:sz w:val="28"/>
          <w:szCs w:val="28"/>
        </w:rPr>
        <w:t>​ la suspensión de eventos socioculturales; el cierre temporal o definitivo de empresas,</w:t>
      </w:r>
      <w:r w:rsidRPr="00B662AB">
        <w:rPr>
          <w:rFonts w:cstheme="minorHAnsi"/>
          <w:sz w:val="28"/>
          <w:szCs w:val="28"/>
        </w:rPr>
        <w:t xml:space="preserve"> </w:t>
      </w:r>
      <w:r w:rsidRPr="00B662AB">
        <w:rPr>
          <w:rFonts w:cstheme="minorHAnsi"/>
          <w:sz w:val="28"/>
          <w:szCs w:val="28"/>
        </w:rPr>
        <w:t>la caída del precio del combustible</w:t>
      </w:r>
      <w:r w:rsidRPr="00B662AB">
        <w:rPr>
          <w:rFonts w:cstheme="minorHAnsi"/>
          <w:sz w:val="28"/>
          <w:szCs w:val="28"/>
        </w:rPr>
        <w:t>, el cierre temporal de escuelas y universidades de todo el mundo a donde llego esta nueva enfermedad.</w:t>
      </w:r>
    </w:p>
    <w:p w:rsidR="00DB3E87" w:rsidRPr="00B662AB" w:rsidRDefault="00DB3E87" w:rsidP="00B662AB">
      <w:pPr>
        <w:spacing w:after="160" w:line="360" w:lineRule="auto"/>
        <w:rPr>
          <w:rFonts w:cstheme="minorHAnsi"/>
          <w:sz w:val="28"/>
          <w:szCs w:val="28"/>
        </w:rPr>
      </w:pPr>
      <w:r w:rsidRPr="00B662AB">
        <w:rPr>
          <w:rFonts w:cstheme="minorHAnsi"/>
          <w:sz w:val="28"/>
          <w:szCs w:val="28"/>
        </w:rPr>
        <w:t xml:space="preserve">La restricción en las salidas también cambió nuestra forma de percibir el tiempo, porque de pronto se volvió necesario planearlo todo: las compras de provisiones, las comidas, los pedidos a domicilio y las tareas domésticas. Ya no era recomendable salir a la tiendita de la colonia  para ir a buscar un litro de leche o pasar a la farmacia por </w:t>
      </w:r>
      <w:r w:rsidRPr="00B662AB">
        <w:rPr>
          <w:rFonts w:cstheme="minorHAnsi"/>
          <w:sz w:val="28"/>
          <w:szCs w:val="28"/>
        </w:rPr>
        <w:lastRenderedPageBreak/>
        <w:t xml:space="preserve">un medicamento. Se trataba de desplazarse lo menos posible, para evitar el contagio. Incluso la comunicación virtual, espontánea al principio, gradualmente se tuvo que agendar porque todo el mundo se la pasaba hablando con sus colegas de trabajo o familiares, hasta que se volvió necesario hacer citas para platicar con amistades o reunirse a través de Zoom. La </w:t>
      </w:r>
      <w:proofErr w:type="spellStart"/>
      <w:r w:rsidRPr="00B662AB">
        <w:rPr>
          <w:rFonts w:cstheme="minorHAnsi"/>
          <w:sz w:val="28"/>
          <w:szCs w:val="28"/>
        </w:rPr>
        <w:t>ﬂexibilidad</w:t>
      </w:r>
      <w:proofErr w:type="spellEnd"/>
      <w:r w:rsidRPr="00B662AB">
        <w:rPr>
          <w:rFonts w:cstheme="minorHAnsi"/>
          <w:sz w:val="28"/>
          <w:szCs w:val="28"/>
        </w:rPr>
        <w:t xml:space="preserve"> del tiempo libre que siempre habíamos tenido en casa se fue perdiendo. Había demasiadas cosas que hacer.</w:t>
      </w:r>
    </w:p>
    <w:p w:rsidR="002E576E" w:rsidRPr="00B662AB" w:rsidRDefault="002E576E" w:rsidP="00B662AB">
      <w:pPr>
        <w:spacing w:after="160" w:line="360" w:lineRule="auto"/>
        <w:rPr>
          <w:rFonts w:cstheme="minorHAnsi"/>
          <w:sz w:val="28"/>
          <w:szCs w:val="28"/>
        </w:rPr>
      </w:pPr>
      <w:r w:rsidRPr="00B662AB">
        <w:rPr>
          <w:rFonts w:cstheme="minorHAnsi"/>
          <w:sz w:val="28"/>
          <w:szCs w:val="28"/>
        </w:rPr>
        <w:t xml:space="preserve">A través de 1 año de estar encerrados completamente y salir únicamente a lo indispensable </w:t>
      </w:r>
      <w:r w:rsidR="00DB3E87" w:rsidRPr="00B662AB">
        <w:rPr>
          <w:rFonts w:cstheme="minorHAnsi"/>
          <w:sz w:val="28"/>
          <w:szCs w:val="28"/>
        </w:rPr>
        <w:t>ha</w:t>
      </w:r>
      <w:r w:rsidRPr="00B662AB">
        <w:rPr>
          <w:rFonts w:cstheme="minorHAnsi"/>
          <w:sz w:val="28"/>
          <w:szCs w:val="28"/>
        </w:rPr>
        <w:t xml:space="preserve"> afectado a cientos de alumnos y padres al trabajar a distancia.</w:t>
      </w:r>
      <w:r w:rsidR="00DB3E87" w:rsidRPr="00B662AB">
        <w:rPr>
          <w:rFonts w:cstheme="minorHAnsi"/>
          <w:sz w:val="28"/>
          <w:szCs w:val="28"/>
        </w:rPr>
        <w:t xml:space="preserve"> En mi caso este sería mi primer año en la universidad pero por todo lo que se está viviendo tuve que adaptarme nuevamente después de 1 año de no haber estudiado a todas las modalidades que se tenían en la escuela. Pensamos que conoceríamos a nuestros compañeros, maestros y a nuestra escuela el </w:t>
      </w:r>
      <w:proofErr w:type="spellStart"/>
      <w:r w:rsidR="00DB3E87" w:rsidRPr="00B662AB">
        <w:rPr>
          <w:rFonts w:cstheme="minorHAnsi"/>
          <w:sz w:val="28"/>
          <w:szCs w:val="28"/>
        </w:rPr>
        <w:t>dia</w:t>
      </w:r>
      <w:proofErr w:type="spellEnd"/>
      <w:r w:rsidR="00DB3E87" w:rsidRPr="00B662AB">
        <w:rPr>
          <w:rFonts w:cstheme="minorHAnsi"/>
          <w:sz w:val="28"/>
          <w:szCs w:val="28"/>
        </w:rPr>
        <w:t xml:space="preserve"> del examen pero como se dijo anteriormente tuvimos que hacerlo mediante una conferencia por internet o por Zoom. Muchas veces decimos que es muy divertido todo por internet pero nunca vemos todas las personas que están a nuestro alrededor. Muchas de ellas no pueden tener una computadora o incluso internet debido a las condiciones a las que vive económicamente.</w:t>
      </w:r>
    </w:p>
    <w:p w:rsidR="00DB3E87" w:rsidRPr="00B662AB" w:rsidRDefault="00DB3E87" w:rsidP="00B662AB">
      <w:pPr>
        <w:spacing w:after="160" w:line="360" w:lineRule="auto"/>
        <w:rPr>
          <w:rFonts w:cstheme="minorHAnsi"/>
          <w:sz w:val="28"/>
          <w:szCs w:val="28"/>
        </w:rPr>
      </w:pPr>
      <w:r w:rsidRPr="00B662AB">
        <w:rPr>
          <w:rFonts w:cstheme="minorHAnsi"/>
          <w:sz w:val="28"/>
          <w:szCs w:val="28"/>
        </w:rPr>
        <w:t xml:space="preserve">En otros casos he visto que muchos alumnos se han quejado de sus maestros e incluso de su escuela donde no tienen clases, no están entendiendo la clase o los temas que se han visto a lo largo de este año y muchos de esos </w:t>
      </w:r>
      <w:r w:rsidRPr="00B662AB">
        <w:rPr>
          <w:rFonts w:cstheme="minorHAnsi"/>
          <w:sz w:val="28"/>
          <w:szCs w:val="28"/>
        </w:rPr>
        <w:lastRenderedPageBreak/>
        <w:t>estudiantes se dieron de baja de su carrera ya que los maestros no brindaron en apoyo necesario a sus alumnos cuando ellos se lo pedían.</w:t>
      </w:r>
    </w:p>
    <w:p w:rsidR="001F7582" w:rsidRPr="00B662AB" w:rsidRDefault="00DB3E87" w:rsidP="00B662AB">
      <w:pPr>
        <w:spacing w:after="160" w:line="360" w:lineRule="auto"/>
        <w:rPr>
          <w:rFonts w:cstheme="minorHAnsi"/>
          <w:sz w:val="28"/>
          <w:szCs w:val="28"/>
        </w:rPr>
      </w:pPr>
      <w:r w:rsidRPr="00B662AB">
        <w:rPr>
          <w:rFonts w:cstheme="minorHAnsi"/>
          <w:sz w:val="28"/>
          <w:szCs w:val="28"/>
        </w:rPr>
        <w:t>El encierro también hizo que la gente adaptara su vivienda a las restricciones sanitarias. Los que se vieron obligados a trabajar en casa tuvieron que configurar o inventar un lugar en el cual pudieran laborar: una mesa, un cuarto, algún espacio donde tuvieran cierta privacidad para poder concentrarse, o sencillamente estar solos. Resultó que muchos no tenían esa posibilidad, porque siempre habían tenido un lugar fuera del hogar para su trabajo, al cual podían ir todos los días. Ahora estaban encerrados con los hijos, la pareja, y a veces otros familiares, lo cual también cambió lo que significa vivir en familia, para bien o para mal.</w:t>
      </w:r>
    </w:p>
    <w:p w:rsidR="001F7582" w:rsidRPr="00B662AB" w:rsidRDefault="00DB3E87" w:rsidP="00B662AB">
      <w:pPr>
        <w:spacing w:after="160" w:line="360" w:lineRule="auto"/>
        <w:rPr>
          <w:rFonts w:cstheme="minorHAnsi"/>
          <w:sz w:val="28"/>
          <w:szCs w:val="28"/>
        </w:rPr>
      </w:pPr>
      <w:r w:rsidRPr="00B662AB">
        <w:rPr>
          <w:rFonts w:cstheme="minorHAnsi"/>
          <w:sz w:val="28"/>
          <w:szCs w:val="28"/>
        </w:rPr>
        <w:t>Conforme se iba alargando el confinamiento, se volvió imposible hacer planes más allá de una o dos semanas. Al principio, la gente todavía pensaba que la crisis duraría poco, un par de meses como máximo; muy pronto podríamos irnos de vacaciones, retomar el trabajo y los proyectos suspendidos, ponernos al día en las visitas y celebrar los cumpleaños pospuestos. Pero cuando ya habían pasado dos y luego tres meses sin cambio, sin que hubiera cedido la pandemia, dejamos de hacer planes. Para mediados de 2020, cuando se empezó a hablar de una segunda ola del COVID-19, ya nadie pudo predecir en qué situación nos encontraríamos dentro de un año incluso seis meses. Fue así cómo nos acostumbramos a vivir sin futuro, limitándonos al pasar, cada vez más lento, de las semanas.</w:t>
      </w:r>
    </w:p>
    <w:p w:rsidR="001F7582" w:rsidRPr="00B662AB" w:rsidRDefault="00DB3E87" w:rsidP="00B662AB">
      <w:pPr>
        <w:spacing w:after="160" w:line="360" w:lineRule="auto"/>
        <w:rPr>
          <w:rFonts w:cstheme="minorHAnsi"/>
          <w:sz w:val="28"/>
          <w:szCs w:val="28"/>
        </w:rPr>
      </w:pPr>
      <w:r w:rsidRPr="00B662AB">
        <w:rPr>
          <w:rFonts w:cstheme="minorHAnsi"/>
          <w:sz w:val="28"/>
          <w:szCs w:val="28"/>
        </w:rPr>
        <w:lastRenderedPageBreak/>
        <w:t>Es una realidad lo que se está viviendo, pero poco a poco nos adaptamos a los cambios que se tienen que hacer para en algún momento regresar a nuestra normalidad.</w:t>
      </w:r>
    </w:p>
    <w:p w:rsidR="00E40CBD" w:rsidRPr="00B662AB" w:rsidRDefault="00E40CBD" w:rsidP="00B662AB">
      <w:pPr>
        <w:spacing w:after="160" w:line="360" w:lineRule="auto"/>
        <w:rPr>
          <w:rFonts w:cstheme="minorHAnsi"/>
          <w:color w:val="202122"/>
          <w:sz w:val="28"/>
          <w:szCs w:val="28"/>
          <w:shd w:val="clear" w:color="auto" w:fill="FFFFFF"/>
        </w:rPr>
      </w:pPr>
      <w:r w:rsidRPr="00B662AB">
        <w:rPr>
          <w:rFonts w:cstheme="minorHAnsi"/>
          <w:color w:val="202122"/>
          <w:sz w:val="28"/>
          <w:szCs w:val="28"/>
          <w:shd w:val="clear" w:color="auto" w:fill="FFFFFF"/>
        </w:rPr>
        <w:t>Para febrero de 2021, diez vacunas han sido autorizadas para su uso público por al menos una autoridad reguladora competente. Además, hay unas 70 vacunas candidatas en </w:t>
      </w:r>
      <w:r w:rsidRPr="00B662AB">
        <w:rPr>
          <w:rFonts w:cstheme="minorHAnsi"/>
          <w:sz w:val="28"/>
          <w:szCs w:val="28"/>
          <w:shd w:val="clear" w:color="auto" w:fill="FFFFFF"/>
        </w:rPr>
        <w:t>investigación clínica</w:t>
      </w:r>
      <w:r w:rsidRPr="00B662AB">
        <w:rPr>
          <w:rFonts w:cstheme="minorHAnsi"/>
          <w:color w:val="202122"/>
          <w:sz w:val="28"/>
          <w:szCs w:val="28"/>
          <w:shd w:val="clear" w:color="auto" w:fill="FFFFFF"/>
        </w:rPr>
        <w:t>, de las cuales 17 en ensayos de fase I, 23 en ensayos de fase I-II, 6 en ensayos de fase II y 20 en ensayos de </w:t>
      </w:r>
      <w:r w:rsidRPr="00B662AB">
        <w:rPr>
          <w:rFonts w:cstheme="minorHAnsi"/>
          <w:sz w:val="28"/>
          <w:szCs w:val="28"/>
          <w:shd w:val="clear" w:color="auto" w:fill="FFFFFF"/>
        </w:rPr>
        <w:t>fase III</w:t>
      </w:r>
      <w:r w:rsidRPr="00B662AB">
        <w:rPr>
          <w:rFonts w:cstheme="minorHAnsi"/>
          <w:color w:val="202122"/>
          <w:sz w:val="28"/>
          <w:szCs w:val="28"/>
          <w:shd w:val="clear" w:color="auto" w:fill="FFFFFF"/>
        </w:rPr>
        <w:t>.</w:t>
      </w:r>
    </w:p>
    <w:p w:rsidR="00E40CBD" w:rsidRPr="00B662AB" w:rsidRDefault="00E40CBD" w:rsidP="00B662AB">
      <w:pPr>
        <w:spacing w:after="160" w:line="360" w:lineRule="auto"/>
        <w:rPr>
          <w:rFonts w:cstheme="minorHAnsi"/>
          <w:color w:val="202122"/>
          <w:sz w:val="28"/>
          <w:szCs w:val="28"/>
          <w:shd w:val="clear" w:color="auto" w:fill="FFFFFF"/>
          <w:vertAlign w:val="superscript"/>
        </w:rPr>
      </w:pPr>
      <w:r w:rsidRPr="00B662AB">
        <w:rPr>
          <w:rFonts w:cstheme="minorHAnsi"/>
          <w:color w:val="202122"/>
          <w:sz w:val="28"/>
          <w:szCs w:val="28"/>
          <w:shd w:val="clear" w:color="auto" w:fill="FFFFFF"/>
        </w:rPr>
        <w:t xml:space="preserve">La eficacia más alta contra </w:t>
      </w:r>
      <w:r w:rsidRPr="00B662AB">
        <w:rPr>
          <w:rFonts w:cstheme="minorHAnsi"/>
          <w:color w:val="202122"/>
          <w:sz w:val="28"/>
          <w:szCs w:val="28"/>
          <w:shd w:val="clear" w:color="auto" w:fill="FFFFFF"/>
        </w:rPr>
        <w:t>los síntomas obtenidos</w:t>
      </w:r>
      <w:r w:rsidRPr="00B662AB">
        <w:rPr>
          <w:rFonts w:cstheme="minorHAnsi"/>
          <w:color w:val="202122"/>
          <w:sz w:val="28"/>
          <w:szCs w:val="28"/>
          <w:shd w:val="clear" w:color="auto" w:fill="FFFFFF"/>
        </w:rPr>
        <w:t xml:space="preserve"> hasta ahora por una vacuna contra la COVID-19 es del 95%, un valor similar a la inmunidad natural que se obtiene al infectarse con el virus SARS-CoV-2.</w:t>
      </w:r>
      <w:r w:rsidRPr="00B662AB">
        <w:rPr>
          <w:rFonts w:cstheme="minorHAnsi"/>
          <w:color w:val="202122"/>
          <w:sz w:val="28"/>
          <w:szCs w:val="28"/>
          <w:shd w:val="clear" w:color="auto" w:fill="FFFFFF"/>
        </w:rPr>
        <w:t xml:space="preserve"> </w:t>
      </w:r>
      <w:r w:rsidRPr="00B662AB">
        <w:rPr>
          <w:rFonts w:cstheme="minorHAnsi"/>
          <w:color w:val="202122"/>
          <w:sz w:val="28"/>
          <w:szCs w:val="28"/>
          <w:shd w:val="clear" w:color="auto" w:fill="FFFFFF"/>
        </w:rPr>
        <w:t>​ Otras vacunas, sin embargo, presentan una eficacia menor, algunas de solo el 50%.Otra diferencia importante entre las diferentes vacunas es su temperatura de conservación. Mientras que las vacunas de adenovirus o coronavirus inactivados se conservan en </w:t>
      </w:r>
      <w:r w:rsidRPr="00B662AB">
        <w:rPr>
          <w:rFonts w:cstheme="minorHAnsi"/>
          <w:sz w:val="28"/>
          <w:szCs w:val="28"/>
          <w:shd w:val="clear" w:color="auto" w:fill="FFFFFF"/>
        </w:rPr>
        <w:t>refrigeradores</w:t>
      </w:r>
      <w:r w:rsidRPr="00B662AB">
        <w:rPr>
          <w:rFonts w:cstheme="minorHAnsi"/>
          <w:color w:val="202122"/>
          <w:sz w:val="28"/>
          <w:szCs w:val="28"/>
          <w:shd w:val="clear" w:color="auto" w:fill="FFFFFF"/>
        </w:rPr>
        <w:t>, las de ARN mensajero requieren congeladores a -20 </w:t>
      </w:r>
      <w:proofErr w:type="spellStart"/>
      <w:r w:rsidRPr="00B662AB">
        <w:rPr>
          <w:rFonts w:cstheme="minorHAnsi"/>
          <w:color w:val="202122"/>
          <w:sz w:val="28"/>
          <w:szCs w:val="28"/>
          <w:shd w:val="clear" w:color="auto" w:fill="FFFFFF"/>
        </w:rPr>
        <w:t>ºC</w:t>
      </w:r>
      <w:proofErr w:type="spellEnd"/>
      <w:r w:rsidRPr="00B662AB">
        <w:rPr>
          <w:rFonts w:cstheme="minorHAnsi"/>
          <w:color w:val="202122"/>
          <w:sz w:val="28"/>
          <w:szCs w:val="28"/>
          <w:shd w:val="clear" w:color="auto" w:fill="FFFFFF"/>
        </w:rPr>
        <w:t xml:space="preserve"> (Moderna) o incluso a -80 </w:t>
      </w:r>
      <w:proofErr w:type="spellStart"/>
      <w:r w:rsidRPr="00B662AB">
        <w:rPr>
          <w:rFonts w:cstheme="minorHAnsi"/>
          <w:color w:val="202122"/>
          <w:sz w:val="28"/>
          <w:szCs w:val="28"/>
          <w:shd w:val="clear" w:color="auto" w:fill="FFFFFF"/>
        </w:rPr>
        <w:t>ºC</w:t>
      </w:r>
      <w:proofErr w:type="spellEnd"/>
      <w:r w:rsidRPr="00B662AB">
        <w:rPr>
          <w:rFonts w:cstheme="minorHAnsi"/>
          <w:color w:val="202122"/>
          <w:sz w:val="28"/>
          <w:szCs w:val="28"/>
          <w:shd w:val="clear" w:color="auto" w:fill="FFFFFF"/>
        </w:rPr>
        <w:t xml:space="preserve"> (Pfizer), lo cual complica su distribución.</w:t>
      </w:r>
      <w:r w:rsidRPr="00B662AB">
        <w:rPr>
          <w:rFonts w:cstheme="minorHAnsi"/>
          <w:color w:val="202122"/>
          <w:sz w:val="28"/>
          <w:szCs w:val="28"/>
          <w:shd w:val="clear" w:color="auto" w:fill="FFFFFF"/>
        </w:rPr>
        <w:t xml:space="preserve"> </w:t>
      </w:r>
      <w:r w:rsidRPr="00B662AB">
        <w:rPr>
          <w:rFonts w:cstheme="minorHAnsi"/>
          <w:color w:val="202122"/>
          <w:sz w:val="28"/>
          <w:szCs w:val="28"/>
          <w:shd w:val="clear" w:color="auto" w:fill="FFFFFF"/>
        </w:rPr>
        <w:t>​Debido a la capacidad de producción limitada de los fabricantes de vacunas, los estados han tenido que implementar planes de distribución por etapas, que dan prioridad a la </w:t>
      </w:r>
      <w:r w:rsidRPr="00B662AB">
        <w:rPr>
          <w:rFonts w:cstheme="minorHAnsi"/>
          <w:sz w:val="28"/>
          <w:szCs w:val="28"/>
          <w:shd w:val="clear" w:color="auto" w:fill="FFFFFF"/>
        </w:rPr>
        <w:t>población de riesgo</w:t>
      </w:r>
      <w:r w:rsidRPr="00B662AB">
        <w:rPr>
          <w:rFonts w:cstheme="minorHAnsi"/>
          <w:color w:val="202122"/>
          <w:sz w:val="28"/>
          <w:szCs w:val="28"/>
          <w:shd w:val="clear" w:color="auto" w:fill="FFFFFF"/>
        </w:rPr>
        <w:t>, como los ancianos, y a las personas con alto grado de exposición y transmisión, como los trabajadores sanitarios.</w:t>
      </w:r>
      <w:r w:rsidRPr="00B662AB">
        <w:rPr>
          <w:rFonts w:cstheme="minorHAnsi"/>
          <w:color w:val="202122"/>
          <w:sz w:val="28"/>
          <w:szCs w:val="28"/>
          <w:shd w:val="clear" w:color="auto" w:fill="FFFFFF"/>
        </w:rPr>
        <w:t xml:space="preserve"> </w:t>
      </w:r>
      <w:r w:rsidRPr="00B662AB">
        <w:rPr>
          <w:rFonts w:cstheme="minorHAnsi"/>
          <w:color w:val="202122"/>
          <w:sz w:val="28"/>
          <w:szCs w:val="28"/>
          <w:shd w:val="clear" w:color="auto" w:fill="FFFFFF"/>
        </w:rPr>
        <w:t>​ A 1 de febrero de 2021, se habían administrado 101,3 millones de dosis de vacunas COVID-19 en todo el mundo, según informes oficiales de las agencias nacionales de salud.</w:t>
      </w:r>
    </w:p>
    <w:p w:rsidR="00B662AB" w:rsidRDefault="00B662AB" w:rsidP="00B662AB">
      <w:pPr>
        <w:spacing w:after="0" w:line="240" w:lineRule="atLeast"/>
        <w:rPr>
          <w:rFonts w:ascii="Calibri" w:hAnsi="Calibri" w:cs="Calibri"/>
          <w:sz w:val="28"/>
          <w:szCs w:val="24"/>
        </w:rPr>
      </w:pPr>
    </w:p>
    <w:p w:rsidR="00512EF7" w:rsidRPr="003A5533" w:rsidRDefault="00512EF7" w:rsidP="00B662AB">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59264" behindDoc="1" locked="0" layoutInCell="1" allowOverlap="1" wp14:anchorId="5A318C1C" wp14:editId="39D8EEE8">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rsidR="00512EF7"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rsidR="00512EF7" w:rsidRPr="00E2168D" w:rsidRDefault="00512EF7" w:rsidP="00512EF7">
      <w:pPr>
        <w:spacing w:after="0" w:line="240" w:lineRule="atLeast"/>
        <w:jc w:val="center"/>
        <w:rPr>
          <w:rFonts w:ascii="Times New Roman" w:hAnsi="Times New Roman" w:cs="Times New Roman"/>
          <w:b/>
          <w:sz w:val="32"/>
          <w:szCs w:val="24"/>
        </w:rPr>
      </w:pPr>
    </w:p>
    <w:tbl>
      <w:tblPr>
        <w:tblStyle w:val="Tablaconcuadrcula"/>
        <w:tblW w:w="13783" w:type="dxa"/>
        <w:tblInd w:w="108" w:type="dxa"/>
        <w:tblLook w:val="04A0" w:firstRow="1" w:lastRow="0" w:firstColumn="1" w:lastColumn="0" w:noHBand="0" w:noVBand="1"/>
      </w:tblPr>
      <w:tblGrid>
        <w:gridCol w:w="3548"/>
        <w:gridCol w:w="10235"/>
      </w:tblGrid>
      <w:tr w:rsidR="00512EF7" w:rsidRPr="008218E1" w:rsidTr="00512EF7">
        <w:trPr>
          <w:trHeight w:val="336"/>
        </w:trPr>
        <w:tc>
          <w:tcPr>
            <w:tcW w:w="3548" w:type="dxa"/>
            <w:shd w:val="clear" w:color="auto" w:fill="DEEAF6" w:themeFill="accent1" w:themeFillTint="33"/>
          </w:tcPr>
          <w:p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235" w:type="dxa"/>
            <w:shd w:val="clear" w:color="auto" w:fill="DEEAF6" w:themeFill="accent1" w:themeFillTint="33"/>
          </w:tcPr>
          <w:p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13779" w:type="dxa"/>
        <w:tblInd w:w="108" w:type="dxa"/>
        <w:tblLook w:val="04A0" w:firstRow="1" w:lastRow="0" w:firstColumn="1" w:lastColumn="0" w:noHBand="0" w:noVBand="1"/>
      </w:tblPr>
      <w:tblGrid>
        <w:gridCol w:w="1563"/>
        <w:gridCol w:w="980"/>
        <w:gridCol w:w="1115"/>
        <w:gridCol w:w="10121"/>
      </w:tblGrid>
      <w:tr w:rsidR="00512EF7" w:rsidRPr="008218E1" w:rsidTr="00512EF7">
        <w:tc>
          <w:tcPr>
            <w:tcW w:w="1563" w:type="dxa"/>
          </w:tcPr>
          <w:p w:rsidR="00512EF7" w:rsidRPr="008218E1" w:rsidRDefault="00512EF7" w:rsidP="00512EF7">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216" w:type="dxa"/>
            <w:gridSpan w:val="3"/>
          </w:tcPr>
          <w:p w:rsidR="00512EF7" w:rsidRPr="008218E1" w:rsidRDefault="00512EF7" w:rsidP="00512EF7">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512EF7" w:rsidRPr="008218E1" w:rsidTr="00512EF7">
        <w:tc>
          <w:tcPr>
            <w:tcW w:w="1563"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216" w:type="dxa"/>
            <w:gridSpan w:val="3"/>
          </w:tcPr>
          <w:p w:rsidR="00512EF7" w:rsidRPr="008218E1" w:rsidRDefault="00512EF7" w:rsidP="00512EF7">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512EF7" w:rsidRPr="008218E1" w:rsidTr="00512EF7">
        <w:trPr>
          <w:trHeight w:val="195"/>
        </w:trPr>
        <w:tc>
          <w:tcPr>
            <w:tcW w:w="1563"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079" w:type="dxa"/>
          </w:tcPr>
          <w:p w:rsidR="00512EF7" w:rsidRPr="006D1D3E" w:rsidRDefault="00512EF7" w:rsidP="000F439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sidR="000F4397">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enfoque</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educativo.</w:t>
            </w:r>
          </w:p>
        </w:tc>
      </w:tr>
      <w:tr w:rsidR="00512EF7" w:rsidRPr="008218E1" w:rsidTr="00512EF7">
        <w:trPr>
          <w:trHeight w:val="195"/>
        </w:trPr>
        <w:tc>
          <w:tcPr>
            <w:tcW w:w="1563"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216" w:type="dxa"/>
            <w:gridSpan w:val="3"/>
          </w:tcPr>
          <w:p w:rsidR="00512EF7" w:rsidRPr="008218E1" w:rsidRDefault="00512EF7" w:rsidP="00512EF7">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rsidR="00512EF7" w:rsidRPr="008218E1" w:rsidRDefault="00512EF7" w:rsidP="00512EF7">
            <w:pPr>
              <w:pStyle w:val="Prrafodelista"/>
              <w:numPr>
                <w:ilvl w:val="0"/>
                <w:numId w:val="1"/>
              </w:numPr>
              <w:spacing w:line="240" w:lineRule="atLeast"/>
              <w:jc w:val="both"/>
              <w:rPr>
                <w:lang w:val="es-MX"/>
              </w:rPr>
            </w:pPr>
            <w:r w:rsidRPr="008218E1">
              <w:rPr>
                <w:lang w:val="es-MX"/>
              </w:rPr>
              <w:t>Orienta su actuación profesional con sentido ético-</w:t>
            </w:r>
            <w:proofErr w:type="spellStart"/>
            <w:r w:rsidR="00B662AB">
              <w:rPr>
                <w:lang w:val="es-MX"/>
              </w:rPr>
              <w:t>valoral</w:t>
            </w:r>
            <w:proofErr w:type="spellEnd"/>
            <w:r w:rsidR="00B662AB">
              <w:rPr>
                <w:lang w:val="es-MX"/>
              </w:rPr>
              <w:t xml:space="preserve"> </w:t>
            </w:r>
            <w:bookmarkStart w:id="0" w:name="_GoBack"/>
            <w:bookmarkEnd w:id="0"/>
            <w:r w:rsidRPr="008218E1">
              <w:rPr>
                <w:lang w:val="es-MX"/>
              </w:rPr>
              <w:t xml:space="preserve"> </w:t>
            </w:r>
            <w:r w:rsidR="00D96388">
              <w:rPr>
                <w:lang w:val="es-MX"/>
              </w:rPr>
              <w:t xml:space="preserve"> </w:t>
            </w:r>
            <w:r w:rsidRPr="008218E1">
              <w:rPr>
                <w:lang w:val="es-MX"/>
              </w:rPr>
              <w:t>y asume los diversos principios y reglas que aseguran una mejor convivencia institucional y social, en beneficio delos alumnos y de la comunidad escolar.</w:t>
            </w:r>
          </w:p>
        </w:tc>
      </w:tr>
      <w:tr w:rsidR="00512EF7" w:rsidRPr="008218E1" w:rsidTr="00512EF7">
        <w:trPr>
          <w:trHeight w:val="195"/>
        </w:trPr>
        <w:tc>
          <w:tcPr>
            <w:tcW w:w="1563"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216" w:type="dxa"/>
            <w:gridSpan w:val="3"/>
          </w:tcPr>
          <w:p w:rsidR="00512EF7" w:rsidRPr="008218E1" w:rsidRDefault="00512EF7" w:rsidP="000F4397">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 xml:space="preserve">una crónica de algún acontecimiento ocurrido </w:t>
            </w:r>
            <w:r w:rsidR="000F4397">
              <w:rPr>
                <w:rFonts w:ascii="Times New Roman" w:hAnsi="Times New Roman" w:cs="Times New Roman"/>
                <w:sz w:val="24"/>
                <w:szCs w:val="24"/>
              </w:rPr>
              <w:t xml:space="preserve">a ellas mismas o </w:t>
            </w:r>
            <w:r>
              <w:rPr>
                <w:rFonts w:ascii="Times New Roman" w:hAnsi="Times New Roman" w:cs="Times New Roman"/>
                <w:sz w:val="24"/>
                <w:szCs w:val="24"/>
              </w:rPr>
              <w:t xml:space="preserve">en </w:t>
            </w:r>
            <w:r w:rsidR="000F4397">
              <w:rPr>
                <w:rFonts w:ascii="Times New Roman" w:hAnsi="Times New Roman" w:cs="Times New Roman"/>
                <w:sz w:val="24"/>
                <w:szCs w:val="24"/>
              </w:rPr>
              <w:t>alguna</w:t>
            </w:r>
            <w:r>
              <w:rPr>
                <w:rFonts w:ascii="Times New Roman" w:hAnsi="Times New Roman" w:cs="Times New Roman"/>
                <w:sz w:val="24"/>
                <w:szCs w:val="24"/>
              </w:rPr>
              <w:t xml:space="preserve">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w:t>
            </w:r>
            <w:r w:rsidR="000F4397">
              <w:rPr>
                <w:rFonts w:ascii="Times New Roman" w:hAnsi="Times New Roman" w:cs="Times New Roman"/>
                <w:sz w:val="24"/>
                <w:szCs w:val="24"/>
              </w:rPr>
              <w:t>tener enfoque educativo.</w:t>
            </w:r>
            <w:r w:rsidR="004F5599">
              <w:rPr>
                <w:rFonts w:ascii="Times New Roman" w:hAnsi="Times New Roman" w:cs="Times New Roman"/>
                <w:sz w:val="24"/>
                <w:szCs w:val="24"/>
              </w:rPr>
              <w:t xml:space="preserve"> Se elaborará en formato Word, la extensión queda sujeta a la narrativa de cada estudiante</w:t>
            </w:r>
            <w:r w:rsidR="00106691">
              <w:rPr>
                <w:rFonts w:ascii="Times New Roman" w:hAnsi="Times New Roman" w:cs="Times New Roman"/>
                <w:sz w:val="24"/>
                <w:szCs w:val="24"/>
              </w:rPr>
              <w:t>. El documento s</w:t>
            </w:r>
            <w:r w:rsidR="004F5599">
              <w:rPr>
                <w:rFonts w:ascii="Times New Roman" w:hAnsi="Times New Roman" w:cs="Times New Roman"/>
                <w:sz w:val="24"/>
                <w:szCs w:val="24"/>
              </w:rPr>
              <w:t xml:space="preserve">e realiza y entrega de manera individual. </w:t>
            </w:r>
          </w:p>
        </w:tc>
      </w:tr>
    </w:tbl>
    <w:p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13779" w:type="dxa"/>
        <w:tblInd w:w="108" w:type="dxa"/>
        <w:tblLook w:val="04A0" w:firstRow="1" w:lastRow="0" w:firstColumn="1" w:lastColumn="0" w:noHBand="0" w:noVBand="1"/>
      </w:tblPr>
      <w:tblGrid>
        <w:gridCol w:w="10632"/>
        <w:gridCol w:w="1275"/>
        <w:gridCol w:w="1872"/>
      </w:tblGrid>
      <w:tr w:rsidR="00512EF7" w:rsidRPr="008218E1" w:rsidTr="00512EF7">
        <w:tc>
          <w:tcPr>
            <w:tcW w:w="10632"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872"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512EF7" w:rsidRPr="008218E1" w:rsidTr="00512EF7">
        <w:tc>
          <w:tcPr>
            <w:tcW w:w="10632" w:type="dxa"/>
          </w:tcPr>
          <w:p w:rsidR="00512EF7" w:rsidRPr="00E2168D" w:rsidRDefault="00512EF7" w:rsidP="000F4397">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sidR="00040209">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w:t>
            </w:r>
            <w:r w:rsidR="000F4397" w:rsidRPr="00E2168D">
              <w:rPr>
                <w:rFonts w:ascii="Times New Roman" w:hAnsi="Times New Roman" w:cs="Times New Roman"/>
                <w:sz w:val="24"/>
                <w:szCs w:val="24"/>
              </w:rPr>
              <w:t>escudo</w:t>
            </w:r>
            <w:r w:rsidR="000F4397">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sidR="000F4397">
              <w:rPr>
                <w:rFonts w:ascii="Times New Roman" w:hAnsi="Times New Roman" w:cs="Times New Roman"/>
                <w:sz w:val="24"/>
                <w:szCs w:val="24"/>
              </w:rPr>
              <w:t>licenciatura, curso, nombre del trabajo</w:t>
            </w:r>
            <w:r w:rsidR="00901473">
              <w:rPr>
                <w:rFonts w:ascii="Times New Roman" w:hAnsi="Times New Roman" w:cs="Times New Roman"/>
                <w:sz w:val="24"/>
                <w:szCs w:val="24"/>
              </w:rPr>
              <w:t>, nombre del</w:t>
            </w:r>
            <w:r w:rsidRPr="00E2168D">
              <w:rPr>
                <w:rFonts w:ascii="Times New Roman" w:hAnsi="Times New Roman" w:cs="Times New Roman"/>
                <w:sz w:val="24"/>
                <w:szCs w:val="24"/>
              </w:rPr>
              <w:t xml:space="preserve"> alumno</w:t>
            </w:r>
            <w:r w:rsidR="000F4397">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sidR="000F4397">
              <w:rPr>
                <w:rFonts w:ascii="Times New Roman" w:hAnsi="Times New Roman" w:cs="Times New Roman"/>
                <w:sz w:val="24"/>
                <w:szCs w:val="24"/>
              </w:rPr>
              <w:t>fecha y lugar.</w:t>
            </w:r>
            <w:r w:rsidR="00040209">
              <w:rPr>
                <w:rFonts w:ascii="Times New Roman" w:hAnsi="Times New Roman" w:cs="Times New Roman"/>
                <w:sz w:val="24"/>
                <w:szCs w:val="24"/>
              </w:rPr>
              <w:t xml:space="preserve"> (incluye rúbrica)</w:t>
            </w:r>
          </w:p>
        </w:tc>
        <w:tc>
          <w:tcPr>
            <w:tcW w:w="1275" w:type="dxa"/>
          </w:tcPr>
          <w:p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center"/>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3779" w:type="dxa"/>
            <w:gridSpan w:val="3"/>
            <w:shd w:val="clear" w:color="auto" w:fill="DEEAF6" w:themeFill="accent1" w:themeFillTint="33"/>
          </w:tcPr>
          <w:p w:rsidR="00512EF7" w:rsidRPr="008218E1" w:rsidRDefault="00512EF7" w:rsidP="00512EF7">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512EF7" w:rsidRPr="008218E1" w:rsidTr="00512EF7">
        <w:tc>
          <w:tcPr>
            <w:tcW w:w="10632" w:type="dxa"/>
          </w:tcPr>
          <w:p w:rsidR="00512EF7" w:rsidRPr="00E2168D" w:rsidRDefault="00512EF7" w:rsidP="00C65965">
            <w:pPr>
              <w:pStyle w:val="Prrafodelista"/>
              <w:numPr>
                <w:ilvl w:val="0"/>
                <w:numId w:val="2"/>
              </w:numPr>
              <w:spacing w:line="240" w:lineRule="atLeast"/>
              <w:jc w:val="both"/>
            </w:pPr>
            <w:r w:rsidRPr="00E2168D">
              <w:t>Narra en orden cronológico un ac</w:t>
            </w:r>
            <w:r w:rsidR="00C65965">
              <w:t>ontecimiento o incidente crítico</w:t>
            </w:r>
            <w:r w:rsidRPr="00E2168D">
              <w:t xml:space="preserve">.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pStyle w:val="Prrafodelista"/>
              <w:numPr>
                <w:ilvl w:val="0"/>
                <w:numId w:val="2"/>
              </w:numPr>
              <w:spacing w:line="240" w:lineRule="atLeast"/>
              <w:jc w:val="both"/>
            </w:pPr>
            <w:r w:rsidRPr="00E2168D">
              <w:t>Describ</w:t>
            </w:r>
            <w:r w:rsidR="002F328F">
              <w:t>e el contexto</w:t>
            </w:r>
            <w:r w:rsidRPr="00E2168D">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pStyle w:val="Prrafodelista"/>
              <w:numPr>
                <w:ilvl w:val="0"/>
                <w:numId w:val="2"/>
              </w:numPr>
              <w:spacing w:line="240" w:lineRule="atLeast"/>
              <w:jc w:val="both"/>
            </w:pPr>
            <w:r w:rsidRPr="00E2168D">
              <w:t>Describe la secuencia del incidente crítico, los sujetos que participan, los argumento</w:t>
            </w:r>
            <w:r w:rsidR="002F328F">
              <w:t>s</w:t>
            </w:r>
            <w:r w:rsidRPr="00E2168D">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pStyle w:val="Prrafodelista"/>
              <w:numPr>
                <w:ilvl w:val="0"/>
                <w:numId w:val="2"/>
              </w:numPr>
              <w:spacing w:line="240" w:lineRule="atLeast"/>
              <w:jc w:val="both"/>
            </w:pPr>
            <w:r w:rsidRPr="00E2168D">
              <w:t>Emplea información e</w:t>
            </w:r>
            <w:r w:rsidR="002F328F">
              <w:t>mpírica recuperada a través de su propia experiencia</w:t>
            </w:r>
            <w:r w:rsidRPr="00E2168D">
              <w:t xml:space="preserve"> para narrar el desarrollo de los acontecimientos.</w:t>
            </w:r>
          </w:p>
        </w:tc>
        <w:tc>
          <w:tcPr>
            <w:tcW w:w="1275" w:type="dxa"/>
          </w:tcPr>
          <w:p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2F328F">
            <w:pPr>
              <w:pStyle w:val="Prrafodelista"/>
              <w:numPr>
                <w:ilvl w:val="0"/>
                <w:numId w:val="2"/>
              </w:numPr>
              <w:spacing w:line="240" w:lineRule="atLeast"/>
              <w:jc w:val="both"/>
            </w:pPr>
            <w:r w:rsidRPr="00E2168D">
              <w:lastRenderedPageBreak/>
              <w:t xml:space="preserve">Expone por escrito su punto de vista con respecto al </w:t>
            </w:r>
            <w:r w:rsidR="002F328F">
              <w:t>proceso y/o desarrollo</w:t>
            </w:r>
            <w:r w:rsidRPr="00E2168D">
              <w:t xml:space="preserve"> del acontecimiento o incidente crítico empleando argumentos teóricos y empíricos</w:t>
            </w:r>
            <w:r w:rsidR="002F328F">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512EF7" w:rsidRPr="008218E1" w:rsidRDefault="00512EF7" w:rsidP="00512EF7">
            <w:pPr>
              <w:spacing w:after="0" w:line="240" w:lineRule="atLeast"/>
              <w:jc w:val="center"/>
              <w:rPr>
                <w:rFonts w:ascii="Times New Roman" w:hAnsi="Times New Roman" w:cs="Times New Roman"/>
                <w:sz w:val="24"/>
                <w:szCs w:val="24"/>
              </w:rPr>
            </w:pP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bl>
    <w:p w:rsidR="000000AD" w:rsidRDefault="000000AD" w:rsidP="00512EF7">
      <w:pPr>
        <w:spacing w:after="0" w:line="240" w:lineRule="atLeast"/>
      </w:pPr>
    </w:p>
    <w:sectPr w:rsidR="000000AD" w:rsidSect="00512EF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F7"/>
    <w:rsid w:val="000000AD"/>
    <w:rsid w:val="00040209"/>
    <w:rsid w:val="000F4397"/>
    <w:rsid w:val="00106691"/>
    <w:rsid w:val="001F7582"/>
    <w:rsid w:val="002E576E"/>
    <w:rsid w:val="002F328F"/>
    <w:rsid w:val="004F5599"/>
    <w:rsid w:val="00512EF7"/>
    <w:rsid w:val="00901473"/>
    <w:rsid w:val="00B662AB"/>
    <w:rsid w:val="00C65965"/>
    <w:rsid w:val="00D67D43"/>
    <w:rsid w:val="00D96388"/>
    <w:rsid w:val="00DB3E87"/>
    <w:rsid w:val="00E40CBD"/>
    <w:rsid w:val="00EB4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F7"/>
    <w:pPr>
      <w:spacing w:after="200" w:line="276" w:lineRule="auto"/>
    </w:pPr>
  </w:style>
  <w:style w:type="paragraph" w:styleId="Ttulo2">
    <w:name w:val="heading 2"/>
    <w:basedOn w:val="Normal"/>
    <w:link w:val="Ttulo2Car"/>
    <w:uiPriority w:val="9"/>
    <w:qFormat/>
    <w:rsid w:val="002E576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 w:type="character" w:customStyle="1" w:styleId="Ttulo2Car">
    <w:name w:val="Título 2 Car"/>
    <w:basedOn w:val="Fuentedeprrafopredeter"/>
    <w:link w:val="Ttulo2"/>
    <w:uiPriority w:val="9"/>
    <w:rsid w:val="002E576E"/>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E40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1325</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valeria zamarripa garza</cp:lastModifiedBy>
  <cp:revision>2</cp:revision>
  <dcterms:created xsi:type="dcterms:W3CDTF">2021-04-25T05:36:00Z</dcterms:created>
  <dcterms:modified xsi:type="dcterms:W3CDTF">2021-04-25T05:36:00Z</dcterms:modified>
</cp:coreProperties>
</file>