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E048" w14:textId="44B1C8A6" w:rsidR="00B204B5" w:rsidRPr="00B204B5" w:rsidRDefault="00B204B5" w:rsidP="00B204B5">
      <w:pPr>
        <w:spacing w:line="240" w:lineRule="auto"/>
        <w:contextualSpacing/>
        <w:jc w:val="center"/>
        <w:rPr>
          <w:rFonts w:ascii="Times" w:hAnsi="Times" w:cs="Times"/>
          <w:b/>
          <w:bCs/>
          <w:sz w:val="36"/>
          <w:szCs w:val="36"/>
        </w:rPr>
      </w:pPr>
      <w:r w:rsidRPr="00B204B5">
        <w:rPr>
          <w:rFonts w:ascii="Times" w:hAnsi="Times" w:cs="Times"/>
          <w:b/>
          <w:bCs/>
          <w:sz w:val="36"/>
          <w:szCs w:val="36"/>
        </w:rPr>
        <w:t>ESCUELA NORMAL DE EDUCACIÓN PREESCOLAR</w:t>
      </w:r>
    </w:p>
    <w:p w14:paraId="78A6197F" w14:textId="7F789E4F" w:rsidR="00B204B5" w:rsidRPr="00B204B5" w:rsidRDefault="00B204B5" w:rsidP="00B204B5">
      <w:pPr>
        <w:spacing w:line="240" w:lineRule="auto"/>
        <w:contextualSpacing/>
        <w:jc w:val="center"/>
        <w:rPr>
          <w:rFonts w:ascii="Times" w:hAnsi="Times" w:cs="Times"/>
          <w:sz w:val="32"/>
          <w:szCs w:val="32"/>
        </w:rPr>
      </w:pPr>
      <w:r w:rsidRPr="00B204B5">
        <w:rPr>
          <w:rFonts w:ascii="Times" w:hAnsi="Times" w:cs="Times"/>
          <w:sz w:val="32"/>
          <w:szCs w:val="32"/>
        </w:rPr>
        <w:t>Licenciatura en Educación Preescolar</w:t>
      </w:r>
    </w:p>
    <w:p w14:paraId="172D1A32" w14:textId="6F432F40" w:rsidR="00B204B5" w:rsidRDefault="00B204B5" w:rsidP="00B204B5">
      <w:pPr>
        <w:spacing w:line="240" w:lineRule="auto"/>
        <w:contextualSpacing/>
        <w:jc w:val="center"/>
        <w:rPr>
          <w:rFonts w:ascii="Times" w:hAnsi="Times" w:cs="Times"/>
          <w:sz w:val="32"/>
          <w:szCs w:val="32"/>
        </w:rPr>
      </w:pPr>
      <w:r w:rsidRPr="000601AF">
        <w:rPr>
          <w:noProof/>
          <w:sz w:val="96"/>
          <w:szCs w:val="96"/>
        </w:rPr>
        <w:drawing>
          <wp:anchor distT="0" distB="0" distL="114300" distR="114300" simplePos="0" relativeHeight="251659264" behindDoc="1" locked="0" layoutInCell="1" allowOverlap="1" wp14:anchorId="4F7B05B3" wp14:editId="40014F0A">
            <wp:simplePos x="0" y="0"/>
            <wp:positionH relativeFrom="column">
              <wp:posOffset>2288540</wp:posOffset>
            </wp:positionH>
            <wp:positionV relativeFrom="page">
              <wp:posOffset>1411605</wp:posOffset>
            </wp:positionV>
            <wp:extent cx="1145540" cy="14363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45540" cy="143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52A9C9" w14:textId="77777777" w:rsidR="00B204B5" w:rsidRPr="00932B8D" w:rsidRDefault="00B204B5" w:rsidP="00B204B5">
      <w:pPr>
        <w:spacing w:line="240" w:lineRule="auto"/>
        <w:contextualSpacing/>
        <w:jc w:val="center"/>
        <w:rPr>
          <w:rFonts w:ascii="Times" w:hAnsi="Times" w:cs="Times"/>
          <w:sz w:val="32"/>
          <w:szCs w:val="32"/>
        </w:rPr>
      </w:pPr>
    </w:p>
    <w:p w14:paraId="564851A5" w14:textId="77777777" w:rsidR="00B204B5" w:rsidRPr="00932B8D" w:rsidRDefault="00B204B5" w:rsidP="00B204B5">
      <w:pPr>
        <w:spacing w:line="240" w:lineRule="auto"/>
        <w:contextualSpacing/>
        <w:jc w:val="center"/>
        <w:rPr>
          <w:rFonts w:ascii="Times" w:hAnsi="Times" w:cs="Times"/>
          <w:sz w:val="32"/>
          <w:szCs w:val="32"/>
        </w:rPr>
      </w:pPr>
    </w:p>
    <w:p w14:paraId="2F7107AD" w14:textId="77777777" w:rsidR="00B204B5" w:rsidRDefault="00B204B5" w:rsidP="00B204B5">
      <w:pPr>
        <w:spacing w:line="240" w:lineRule="auto"/>
        <w:contextualSpacing/>
        <w:jc w:val="center"/>
        <w:rPr>
          <w:rFonts w:ascii="Times" w:hAnsi="Times" w:cs="Times"/>
          <w:sz w:val="32"/>
          <w:szCs w:val="32"/>
        </w:rPr>
      </w:pPr>
    </w:p>
    <w:p w14:paraId="1E403E6F" w14:textId="77777777" w:rsidR="00B204B5" w:rsidRDefault="00B204B5" w:rsidP="00B204B5">
      <w:pPr>
        <w:spacing w:line="240" w:lineRule="auto"/>
        <w:contextualSpacing/>
        <w:jc w:val="center"/>
        <w:rPr>
          <w:rFonts w:ascii="Times" w:hAnsi="Times" w:cs="Times"/>
          <w:sz w:val="32"/>
          <w:szCs w:val="32"/>
        </w:rPr>
      </w:pPr>
    </w:p>
    <w:p w14:paraId="1A3C998E" w14:textId="77777777" w:rsidR="00B204B5" w:rsidRDefault="00B204B5" w:rsidP="00B204B5">
      <w:pPr>
        <w:spacing w:line="240" w:lineRule="auto"/>
        <w:contextualSpacing/>
        <w:rPr>
          <w:rFonts w:ascii="Times" w:hAnsi="Times" w:cs="Times"/>
          <w:sz w:val="32"/>
          <w:szCs w:val="32"/>
        </w:rPr>
      </w:pPr>
    </w:p>
    <w:p w14:paraId="395875F7" w14:textId="77777777" w:rsidR="00D32C3B" w:rsidRDefault="00D32C3B" w:rsidP="00D32C3B">
      <w:pPr>
        <w:spacing w:line="240" w:lineRule="auto"/>
        <w:contextualSpacing/>
        <w:jc w:val="center"/>
        <w:rPr>
          <w:rFonts w:ascii="Times" w:hAnsi="Times" w:cs="Times"/>
          <w:sz w:val="40"/>
          <w:szCs w:val="40"/>
        </w:rPr>
      </w:pPr>
    </w:p>
    <w:p w14:paraId="21DBAA24" w14:textId="0D4208CE" w:rsidR="00B204B5" w:rsidRPr="00932B8D" w:rsidRDefault="00B204B5" w:rsidP="00D32C3B">
      <w:pPr>
        <w:spacing w:line="240" w:lineRule="auto"/>
        <w:contextualSpacing/>
        <w:jc w:val="center"/>
        <w:rPr>
          <w:rFonts w:ascii="Times" w:hAnsi="Times" w:cs="Times"/>
          <w:sz w:val="40"/>
          <w:szCs w:val="40"/>
        </w:rPr>
      </w:pPr>
      <w:r>
        <w:rPr>
          <w:rFonts w:ascii="Times" w:hAnsi="Times" w:cs="Times"/>
          <w:sz w:val="40"/>
          <w:szCs w:val="40"/>
        </w:rPr>
        <w:t>Estrategias d</w:t>
      </w:r>
      <w:r w:rsidR="00D32C3B">
        <w:rPr>
          <w:rFonts w:ascii="Times" w:hAnsi="Times" w:cs="Times"/>
          <w:sz w:val="40"/>
          <w:szCs w:val="40"/>
        </w:rPr>
        <w:t xml:space="preserve">e </w:t>
      </w:r>
      <w:r>
        <w:rPr>
          <w:rFonts w:ascii="Times" w:hAnsi="Times" w:cs="Times"/>
          <w:sz w:val="40"/>
          <w:szCs w:val="40"/>
        </w:rPr>
        <w:t>Trabajo Docente</w:t>
      </w:r>
    </w:p>
    <w:p w14:paraId="031ADA7C" w14:textId="58764AD4" w:rsidR="00B204B5" w:rsidRPr="00932B8D" w:rsidRDefault="00B204B5" w:rsidP="00B204B5">
      <w:pPr>
        <w:spacing w:line="240" w:lineRule="auto"/>
        <w:contextualSpacing/>
        <w:jc w:val="center"/>
        <w:rPr>
          <w:rFonts w:ascii="Times" w:hAnsi="Times"/>
          <w:b/>
          <w:bCs/>
          <w:sz w:val="40"/>
          <w:szCs w:val="40"/>
        </w:rPr>
      </w:pPr>
      <w:r w:rsidRPr="00932B8D">
        <w:rPr>
          <w:rFonts w:ascii="Times" w:hAnsi="Times"/>
          <w:b/>
          <w:bCs/>
          <w:sz w:val="40"/>
          <w:szCs w:val="40"/>
        </w:rPr>
        <w:t xml:space="preserve">Docente: </w:t>
      </w:r>
      <w:r>
        <w:rPr>
          <w:rFonts w:ascii="Times" w:hAnsi="Times"/>
          <w:b/>
          <w:bCs/>
          <w:sz w:val="40"/>
          <w:szCs w:val="40"/>
        </w:rPr>
        <w:t>Angélica María Rocca Valdés</w:t>
      </w:r>
    </w:p>
    <w:p w14:paraId="383C6B63" w14:textId="77777777" w:rsidR="00B204B5" w:rsidRPr="000601AF" w:rsidRDefault="00B204B5" w:rsidP="00B204B5">
      <w:pPr>
        <w:spacing w:line="240" w:lineRule="auto"/>
        <w:contextualSpacing/>
        <w:jc w:val="center"/>
        <w:rPr>
          <w:rFonts w:ascii="Times" w:hAnsi="Times"/>
          <w:b/>
          <w:bCs/>
          <w:sz w:val="32"/>
          <w:szCs w:val="32"/>
        </w:rPr>
      </w:pPr>
    </w:p>
    <w:p w14:paraId="00F0927B" w14:textId="436F4054" w:rsidR="00B204B5" w:rsidRPr="000601AF" w:rsidRDefault="00B204B5" w:rsidP="00B204B5">
      <w:pPr>
        <w:spacing w:line="240" w:lineRule="auto"/>
        <w:contextualSpacing/>
        <w:jc w:val="center"/>
        <w:rPr>
          <w:rFonts w:ascii="Times" w:hAnsi="Times"/>
          <w:i/>
          <w:iCs/>
          <w:sz w:val="32"/>
          <w:szCs w:val="32"/>
        </w:rPr>
      </w:pPr>
      <w:r>
        <w:rPr>
          <w:rFonts w:ascii="Times" w:hAnsi="Times"/>
          <w:i/>
          <w:iCs/>
          <w:sz w:val="32"/>
          <w:szCs w:val="32"/>
        </w:rPr>
        <w:t>Cómo organizar un estudio de caso</w:t>
      </w:r>
    </w:p>
    <w:p w14:paraId="2830372D" w14:textId="2EFC4D72" w:rsidR="00B204B5" w:rsidRPr="005D0C9A" w:rsidRDefault="00B204B5" w:rsidP="00B204B5">
      <w:pPr>
        <w:spacing w:line="240" w:lineRule="auto"/>
        <w:contextualSpacing/>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Pr="005D0C9A">
        <w:rPr>
          <w:rFonts w:ascii="Times New Roman" w:hAnsi="Times New Roman" w:cs="Times New Roman"/>
          <w:sz w:val="28"/>
        </w:rPr>
        <w:t xml:space="preserve">. </w:t>
      </w:r>
      <w:r>
        <w:rPr>
          <w:rFonts w:ascii="Times New Roman" w:hAnsi="Times New Roman" w:cs="Times New Roman"/>
          <w:sz w:val="28"/>
        </w:rPr>
        <w:t xml:space="preserve">Diseño, intervención y evaluación en el aula. </w:t>
      </w:r>
    </w:p>
    <w:p w14:paraId="5CC17F8E" w14:textId="77777777" w:rsidR="00B204B5" w:rsidRDefault="00B204B5" w:rsidP="00B204B5">
      <w:pPr>
        <w:spacing w:line="240" w:lineRule="auto"/>
        <w:contextualSpacing/>
        <w:jc w:val="center"/>
        <w:rPr>
          <w:rFonts w:ascii="Times New Roman" w:hAnsi="Times New Roman" w:cs="Times New Roman"/>
          <w:sz w:val="28"/>
        </w:rPr>
      </w:pPr>
    </w:p>
    <w:p w14:paraId="06475780" w14:textId="7B57EDD7" w:rsidR="00B204B5" w:rsidRPr="00B204B5" w:rsidRDefault="00B204B5" w:rsidP="00D32C3B">
      <w:pPr>
        <w:spacing w:line="240" w:lineRule="auto"/>
        <w:contextualSpacing/>
        <w:jc w:val="center"/>
        <w:rPr>
          <w:rFonts w:ascii="Times New Roman" w:hAnsi="Times New Roman" w:cs="Times New Roman"/>
          <w:b/>
          <w:sz w:val="28"/>
          <w:szCs w:val="28"/>
        </w:rPr>
      </w:pPr>
      <w:r w:rsidRPr="00B204B5">
        <w:rPr>
          <w:rFonts w:ascii="Times New Roman" w:hAnsi="Times New Roman" w:cs="Times New Roman"/>
          <w:b/>
          <w:sz w:val="36"/>
          <w:szCs w:val="36"/>
        </w:rPr>
        <w:t>EQUIPO</w:t>
      </w:r>
      <w:r w:rsidRPr="00B204B5">
        <w:rPr>
          <w:rFonts w:ascii="Times New Roman" w:hAnsi="Times New Roman" w:cs="Times New Roman"/>
          <w:b/>
          <w:sz w:val="28"/>
          <w:szCs w:val="28"/>
        </w:rPr>
        <w:t>:</w:t>
      </w:r>
    </w:p>
    <w:p w14:paraId="111B0782" w14:textId="481A8516"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Fátima Cecilia Alonso Alvarado - #02</w:t>
      </w:r>
    </w:p>
    <w:p w14:paraId="75184076" w14:textId="3C708345" w:rsidR="00B204B5" w:rsidRDefault="00B204B5" w:rsidP="00D32C3B">
      <w:pPr>
        <w:pStyle w:val="Prrafodelista"/>
        <w:numPr>
          <w:ilvl w:val="0"/>
          <w:numId w:val="4"/>
        </w:numPr>
        <w:jc w:val="center"/>
        <w:rPr>
          <w:rFonts w:ascii="Times New Roman" w:hAnsi="Times New Roman" w:cs="Times New Roman"/>
          <w:i/>
          <w:iCs/>
          <w:color w:val="000000"/>
          <w:sz w:val="32"/>
          <w:szCs w:val="32"/>
        </w:rPr>
      </w:pPr>
      <w:r w:rsidRPr="00B204B5">
        <w:rPr>
          <w:rFonts w:ascii="Times New Roman" w:hAnsi="Times New Roman" w:cs="Times New Roman"/>
          <w:i/>
          <w:iCs/>
          <w:color w:val="000000"/>
          <w:sz w:val="32"/>
          <w:szCs w:val="32"/>
        </w:rPr>
        <w:t>María Fernanda Barrón López - #03</w:t>
      </w:r>
    </w:p>
    <w:p w14:paraId="4368C595" w14:textId="5668BE41"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Valeria Carlos Pérez - #04</w:t>
      </w:r>
    </w:p>
    <w:p w14:paraId="0B57B056" w14:textId="301348C4"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Mariana Gutiérrez Morales - #11</w:t>
      </w:r>
    </w:p>
    <w:p w14:paraId="6EDB65C3" w14:textId="7017BF50"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Melina Maryvi Medina Rocha - #16</w:t>
      </w:r>
    </w:p>
    <w:p w14:paraId="5A134AD6" w14:textId="651ADBF5"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Lorena Fernanda Olivo Maldonado - #17</w:t>
      </w:r>
    </w:p>
    <w:p w14:paraId="5275454E" w14:textId="295567DA"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Caro Ortega Pérez - #19</w:t>
      </w:r>
    </w:p>
    <w:p w14:paraId="4C7DEB3D" w14:textId="58CF96BA" w:rsid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Mariana Paola Pardo Sena - #20</w:t>
      </w:r>
    </w:p>
    <w:p w14:paraId="2ED63011" w14:textId="0455A808" w:rsidR="00B204B5" w:rsidRPr="00B204B5" w:rsidRDefault="00B204B5" w:rsidP="00D32C3B">
      <w:pPr>
        <w:pStyle w:val="Prrafodelista"/>
        <w:numPr>
          <w:ilvl w:val="0"/>
          <w:numId w:val="4"/>
        </w:numPr>
        <w:jc w:val="center"/>
        <w:rPr>
          <w:rFonts w:ascii="Times New Roman" w:hAnsi="Times New Roman" w:cs="Times New Roman"/>
          <w:i/>
          <w:iCs/>
          <w:color w:val="000000"/>
          <w:sz w:val="32"/>
          <w:szCs w:val="32"/>
        </w:rPr>
      </w:pPr>
      <w:r>
        <w:rPr>
          <w:rFonts w:ascii="Times New Roman" w:hAnsi="Times New Roman" w:cs="Times New Roman"/>
          <w:i/>
          <w:iCs/>
          <w:color w:val="000000"/>
          <w:sz w:val="32"/>
          <w:szCs w:val="32"/>
        </w:rPr>
        <w:t xml:space="preserve">Rosa Edith </w:t>
      </w:r>
      <w:r w:rsidR="00D32C3B">
        <w:rPr>
          <w:rFonts w:ascii="Times New Roman" w:hAnsi="Times New Roman" w:cs="Times New Roman"/>
          <w:i/>
          <w:iCs/>
          <w:color w:val="000000"/>
          <w:sz w:val="32"/>
          <w:szCs w:val="32"/>
        </w:rPr>
        <w:t>Valdés</w:t>
      </w:r>
      <w:r>
        <w:rPr>
          <w:rFonts w:ascii="Times New Roman" w:hAnsi="Times New Roman" w:cs="Times New Roman"/>
          <w:i/>
          <w:iCs/>
          <w:color w:val="000000"/>
          <w:sz w:val="32"/>
          <w:szCs w:val="32"/>
        </w:rPr>
        <w:t xml:space="preserve"> Constante - #21</w:t>
      </w:r>
    </w:p>
    <w:p w14:paraId="3E6DD9DD" w14:textId="77777777" w:rsidR="00B204B5" w:rsidRDefault="00B204B5" w:rsidP="00B204B5">
      <w:pPr>
        <w:spacing w:line="240" w:lineRule="auto"/>
        <w:contextualSpacing/>
        <w:rPr>
          <w:lang w:val="es-ES"/>
        </w:rPr>
      </w:pPr>
    </w:p>
    <w:p w14:paraId="543C7CF3" w14:textId="77777777" w:rsidR="00B204B5" w:rsidRDefault="00B204B5" w:rsidP="00B204B5">
      <w:pPr>
        <w:spacing w:line="240" w:lineRule="auto"/>
        <w:contextualSpacing/>
        <w:jc w:val="center"/>
        <w:rPr>
          <w:rFonts w:ascii="Times" w:hAnsi="Times"/>
          <w:i/>
          <w:iCs/>
          <w:sz w:val="28"/>
          <w:szCs w:val="28"/>
        </w:rPr>
      </w:pPr>
    </w:p>
    <w:p w14:paraId="1AB6A4F8" w14:textId="3DC1EE77" w:rsidR="00B204B5" w:rsidRPr="00B204B5" w:rsidRDefault="00B204B5" w:rsidP="00B204B5">
      <w:pPr>
        <w:spacing w:line="240" w:lineRule="auto"/>
        <w:contextualSpacing/>
        <w:jc w:val="center"/>
        <w:rPr>
          <w:rFonts w:ascii="Times" w:hAnsi="Times"/>
          <w:sz w:val="36"/>
          <w:szCs w:val="36"/>
        </w:rPr>
      </w:pPr>
      <w:r w:rsidRPr="00B204B5">
        <w:rPr>
          <w:rFonts w:ascii="Times" w:hAnsi="Times"/>
          <w:sz w:val="36"/>
          <w:szCs w:val="36"/>
        </w:rPr>
        <w:t>2do Año - Sección “A”</w:t>
      </w:r>
    </w:p>
    <w:p w14:paraId="6BE38A25" w14:textId="77777777" w:rsidR="00B204B5" w:rsidRPr="00932B8D" w:rsidRDefault="00B204B5" w:rsidP="00B204B5">
      <w:pPr>
        <w:spacing w:line="240" w:lineRule="auto"/>
        <w:contextualSpacing/>
        <w:jc w:val="center"/>
        <w:rPr>
          <w:rFonts w:ascii="Times" w:hAnsi="Times"/>
          <w:sz w:val="36"/>
          <w:szCs w:val="36"/>
        </w:rPr>
      </w:pPr>
    </w:p>
    <w:p w14:paraId="1337954C" w14:textId="16A3DD48" w:rsidR="00B204B5" w:rsidRPr="00932B8D" w:rsidRDefault="00B204B5" w:rsidP="00B204B5">
      <w:pPr>
        <w:spacing w:line="240" w:lineRule="auto"/>
        <w:contextualSpacing/>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25</w:t>
      </w:r>
      <w:r w:rsidRPr="00932B8D">
        <w:rPr>
          <w:rFonts w:ascii="Times" w:hAnsi="Times"/>
          <w:b/>
          <w:bCs/>
          <w:sz w:val="36"/>
          <w:szCs w:val="36"/>
        </w:rPr>
        <w:t xml:space="preserve"> de </w:t>
      </w:r>
      <w:r>
        <w:rPr>
          <w:rFonts w:ascii="Times" w:hAnsi="Times"/>
          <w:b/>
          <w:bCs/>
          <w:sz w:val="36"/>
          <w:szCs w:val="36"/>
        </w:rPr>
        <w:t>abril</w:t>
      </w:r>
      <w:r w:rsidRPr="00932B8D">
        <w:rPr>
          <w:rFonts w:ascii="Times" w:hAnsi="Times"/>
          <w:b/>
          <w:bCs/>
          <w:sz w:val="36"/>
          <w:szCs w:val="36"/>
        </w:rPr>
        <w:t xml:space="preserve"> de </w:t>
      </w:r>
      <w:r>
        <w:rPr>
          <w:rFonts w:ascii="Times" w:hAnsi="Times"/>
          <w:b/>
          <w:bCs/>
          <w:sz w:val="36"/>
          <w:szCs w:val="36"/>
        </w:rPr>
        <w:t>2021</w:t>
      </w:r>
    </w:p>
    <w:p w14:paraId="56672ECB" w14:textId="77777777" w:rsidR="00B204B5" w:rsidRDefault="00B204B5" w:rsidP="00B204B5">
      <w:pPr>
        <w:spacing w:line="240" w:lineRule="auto"/>
        <w:contextualSpacing/>
        <w:jc w:val="center"/>
        <w:rPr>
          <w:rFonts w:ascii="Times" w:hAnsi="Times"/>
          <w:i/>
          <w:iCs/>
          <w:sz w:val="36"/>
          <w:szCs w:val="36"/>
        </w:rPr>
      </w:pPr>
      <w:r w:rsidRPr="00932B8D">
        <w:rPr>
          <w:rFonts w:ascii="Times" w:hAnsi="Times"/>
          <w:i/>
          <w:iCs/>
          <w:sz w:val="36"/>
          <w:szCs w:val="36"/>
        </w:rPr>
        <w:t>Saltillo, Coahuila.</w:t>
      </w:r>
    </w:p>
    <w:p w14:paraId="51DED0F7" w14:textId="6EBE7BA5" w:rsidR="00B204B5" w:rsidRDefault="00B204B5">
      <w:pPr>
        <w:rPr>
          <w:rFonts w:ascii="Ubuntu" w:eastAsia="Times New Roman" w:hAnsi="Ubuntu" w:cs="Times New Roman"/>
          <w:b/>
          <w:color w:val="000000"/>
          <w:sz w:val="26"/>
          <w:szCs w:val="24"/>
          <w:lang w:eastAsia="es-MX"/>
        </w:rPr>
      </w:pPr>
      <w:r>
        <w:rPr>
          <w:rFonts w:ascii="Ubuntu" w:eastAsia="Times New Roman" w:hAnsi="Ubuntu" w:cs="Times New Roman"/>
          <w:b/>
          <w:color w:val="000000"/>
          <w:sz w:val="26"/>
          <w:szCs w:val="24"/>
          <w:lang w:eastAsia="es-MX"/>
        </w:rPr>
        <w:br w:type="page"/>
      </w:r>
    </w:p>
    <w:p w14:paraId="7AE0E8C6" w14:textId="75C8B69B" w:rsidR="00B204B5" w:rsidRPr="00B204B5" w:rsidRDefault="00B204B5" w:rsidP="00B204B5">
      <w:pPr>
        <w:autoSpaceDE w:val="0"/>
        <w:autoSpaceDN w:val="0"/>
        <w:adjustRightInd w:val="0"/>
        <w:spacing w:after="0" w:line="240" w:lineRule="auto"/>
        <w:jc w:val="center"/>
        <w:rPr>
          <w:rFonts w:ascii="Times" w:hAnsi="Times" w:cs="AppleSystemUIFont"/>
          <w:b/>
          <w:bCs/>
          <w:i/>
          <w:iCs/>
          <w:sz w:val="28"/>
          <w:szCs w:val="26"/>
        </w:rPr>
      </w:pPr>
      <w:r w:rsidRPr="00B204B5">
        <w:rPr>
          <w:rFonts w:ascii="Times" w:hAnsi="Times" w:cs="AppleSystemUIFont"/>
          <w:b/>
          <w:bCs/>
          <w:i/>
          <w:iCs/>
          <w:sz w:val="28"/>
          <w:szCs w:val="26"/>
        </w:rPr>
        <w:lastRenderedPageBreak/>
        <w:t>CÓMO ORGANIZAR UN ESTUDIO DE CASO</w:t>
      </w:r>
    </w:p>
    <w:p w14:paraId="6932B98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56EC8A0D" w14:textId="214EDAF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 xml:space="preserve">El estudio de un caso es un método que se emplea para realizar investigaciones ya sea de procesos sociales o educativos. </w:t>
      </w:r>
    </w:p>
    <w:p w14:paraId="4B78F9A7" w14:textId="1E57825B"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14:paraId="1E308EBD" w14:textId="47E0AC8C"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EAD3CB0"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Un análisis detallado es estudiar la peculiaridad y complejidad de un caso para así poder entender sus circunstancias, se le llama sistema acotado, su propósito fundamental es el comprender la peculiaridad del caso e intentar entender la función de sus componentes. Este método implica utilizar un método de operaciones preestablecidas que se realizan de manera sistemática.</w:t>
      </w:r>
    </w:p>
    <w:p w14:paraId="11484011" w14:textId="36FE1A1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El punto del cual se parte es establecer la intencionalidad investigativa y considerar la temporalidad para planificar el desarrollo de la investigación, es necesario delimitar el caso y establecer conceptos ordenadores, después de eso, con un carácter abierto se destacan las opciones de explicaciones teóricas.</w:t>
      </w:r>
    </w:p>
    <w:p w14:paraId="7C8E197C" w14:textId="77777777" w:rsidR="00B204B5" w:rsidRPr="00B204B5" w:rsidRDefault="00B204B5" w:rsidP="00B204B5">
      <w:pPr>
        <w:jc w:val="both"/>
        <w:rPr>
          <w:rFonts w:ascii="Times" w:eastAsia="Times New Roman" w:hAnsi="Times" w:cs="Times New Roman"/>
          <w:b/>
          <w:color w:val="000000"/>
          <w:sz w:val="24"/>
          <w:szCs w:val="24"/>
          <w:lang w:eastAsia="es-MX"/>
        </w:rPr>
      </w:pPr>
    </w:p>
    <w:p w14:paraId="13FF882A" w14:textId="4776526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Stake identifica tres modalidades, según el objetivo fundamental:</w:t>
      </w:r>
    </w:p>
    <w:p w14:paraId="4D178079"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ab/>
      </w:r>
    </w:p>
    <w:p w14:paraId="19A86F8C" w14:textId="2143B79F"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 xml:space="preserve">El análisis intrínseco de casos tiene el objetivo de conseguir una más grande comprensión del caso en sí mismo. </w:t>
      </w:r>
    </w:p>
    <w:p w14:paraId="6DCC17E3" w14:textId="3DE81AD0"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 xml:space="preserve">El análisis instrumental de casos es un medio para lograr algo distinto a la comprensión [del caso…] concreto. </w:t>
      </w:r>
    </w:p>
    <w:p w14:paraId="49BD4AFD" w14:textId="0C59856B"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El estudio colectivo de casos centra el interés en indagar un fenómeno, población.</w:t>
      </w:r>
    </w:p>
    <w:p w14:paraId="7DF2988F"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ED39F2F" w14:textId="6C30F16D"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Merriam agrupa los estudios de casos en educación, por la naturaleza del informe final:</w:t>
      </w:r>
    </w:p>
    <w:p w14:paraId="778EA404" w14:textId="31DA794B"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descriptivo presenta un informe eminentemente detallado.</w:t>
      </w:r>
    </w:p>
    <w:p w14:paraId="36371468" w14:textId="3E20EDC4"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interpretativo aporta descripciones densas y ricas con el propósito de interpretar y teorizar sobre el caso.</w:t>
      </w:r>
    </w:p>
    <w:p w14:paraId="7A16A36F" w14:textId="039FEFDC"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evaluativo, que además de describir y explicar, se orienta a la formulación de juicios de valor que constituyen la base para tomar decisiones</w:t>
      </w:r>
      <w:r>
        <w:rPr>
          <w:rFonts w:ascii="Times" w:hAnsi="Times" w:cs="AppleSystemUIFont"/>
          <w:sz w:val="24"/>
          <w:szCs w:val="24"/>
        </w:rPr>
        <w:t>.</w:t>
      </w:r>
    </w:p>
    <w:p w14:paraId="077B9F7C"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2CA209A7" w14:textId="7DD04F98"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Yin distingue tres tipos, según sea el objetivo:</w:t>
      </w:r>
    </w:p>
    <w:p w14:paraId="5F590895" w14:textId="4C7E5C6C"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El estudio de caso exploratorio, cuyos resultados pueden ser usados como base para formular preguntas de investigación más precisas o hipótesis que puedan ser probadas.</w:t>
      </w:r>
    </w:p>
    <w:p w14:paraId="75AB2FD1" w14:textId="4441A6FA"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El estudio de caso descriptivo, que intenta describir de manera detallada lo que sucede en un caso particular.</w:t>
      </w:r>
    </w:p>
    <w:p w14:paraId="43565026" w14:textId="5B08065A"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 xml:space="preserve">El estudio de caso explicativo, que facilita la interpretación de las estrategias y procesos que aparecen en un evento o fenómeno específico </w:t>
      </w:r>
    </w:p>
    <w:p w14:paraId="614D98F2"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D8FD8D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1ECC43F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7A1FBA90"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78F15F44" w14:textId="1D58FE4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Pérez Serrano propone cuatro tipos desde el punto de vista metodológico:</w:t>
      </w:r>
    </w:p>
    <w:p w14:paraId="5EE0AE5C" w14:textId="2CC9B460"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 xml:space="preserve">Estudio de caso particularista, que se caracteriza por un enfoque claramente idiográfico, </w:t>
      </w:r>
      <w:r w:rsidRPr="00B204B5">
        <w:rPr>
          <w:rFonts w:ascii="Times" w:hAnsi="Times" w:cs="AppleSystemUIFont"/>
          <w:sz w:val="24"/>
          <w:szCs w:val="24"/>
        </w:rPr>
        <w:lastRenderedPageBreak/>
        <w:t>orientado a comprender profundamente la realidad singular, un individuo, un grupo, una institución social o una comunidad.</w:t>
      </w:r>
    </w:p>
    <w:p w14:paraId="6C8DE699" w14:textId="5D79D232"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descriptivo, en el que se obtiene una rica descripción de un individuo o evento de tipo cualitativo.</w:t>
      </w:r>
    </w:p>
    <w:p w14:paraId="1AD459FF" w14:textId="7CDCC7BE"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heurístico, ilumina la comprensión del lector sobre el caso porque puede descubrirle nuevos significados, ampliar su experiencia o bien confirmar lo que ya sabe.</w:t>
      </w:r>
    </w:p>
    <w:p w14:paraId="00426315" w14:textId="376B122D" w:rsidR="00B204B5" w:rsidRPr="00B204B5" w:rsidRDefault="00B204B5" w:rsidP="00B204B5">
      <w:pPr>
        <w:pStyle w:val="Prrafodelista"/>
        <w:numPr>
          <w:ilvl w:val="0"/>
          <w:numId w:val="15"/>
        </w:numPr>
        <w:jc w:val="both"/>
        <w:rPr>
          <w:rFonts w:ascii="Times" w:hAnsi="Times" w:cs="AppleSystemUIFont"/>
          <w:sz w:val="24"/>
          <w:szCs w:val="24"/>
        </w:rPr>
      </w:pPr>
      <w:r w:rsidRPr="00B204B5">
        <w:rPr>
          <w:rFonts w:ascii="Times" w:hAnsi="Times" w:cs="AppleSystemUIFont"/>
          <w:sz w:val="24"/>
          <w:szCs w:val="24"/>
        </w:rPr>
        <w:t>Estudio de caso inductivo, la mayoría de los estudios de casos se basan en el razonamiento inductivo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w:t>
      </w:r>
    </w:p>
    <w:p w14:paraId="73CB579A" w14:textId="77777777" w:rsidR="00B204B5" w:rsidRPr="00B204B5" w:rsidRDefault="00B204B5"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Montero y León</w:t>
      </w:r>
      <w:r w:rsidRPr="00B204B5">
        <w:rPr>
          <w:rFonts w:ascii="Times" w:eastAsia="Times New Roman" w:hAnsi="Times" w:cs="Times New Roman"/>
          <w:color w:val="000000"/>
          <w:sz w:val="24"/>
          <w:szCs w:val="24"/>
          <w:lang w:eastAsia="es-MX"/>
        </w:rPr>
        <w:t> refieren tres tipos de acuerdo al plan de investigación:</w:t>
      </w:r>
    </w:p>
    <w:p w14:paraId="16F801F9" w14:textId="77777777"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 </w:t>
      </w:r>
      <w:r w:rsidRPr="00B204B5">
        <w:rPr>
          <w:rFonts w:ascii="Times" w:eastAsia="Times New Roman" w:hAnsi="Times" w:cs="Times New Roman"/>
          <w:i/>
          <w:iCs/>
          <w:color w:val="000000"/>
          <w:sz w:val="24"/>
          <w:szCs w:val="24"/>
          <w:lang w:eastAsia="es-MX"/>
        </w:rPr>
        <w:t>intrínseco</w:t>
      </w:r>
      <w:r w:rsidRPr="00B204B5">
        <w:rPr>
          <w:rFonts w:ascii="Times" w:eastAsia="Times New Roman" w:hAnsi="Times" w:cs="Times New Roman"/>
          <w:color w:val="000000"/>
          <w:sz w:val="24"/>
          <w:szCs w:val="24"/>
          <w:lang w:eastAsia="es-MX"/>
        </w:rPr>
        <w:t>, cuando no fue seleccionado propiamente por el investigador.</w:t>
      </w:r>
    </w:p>
    <w:p w14:paraId="44364011" w14:textId="7DFE11A6"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 </w:t>
      </w:r>
      <w:r w:rsidRPr="00B204B5">
        <w:rPr>
          <w:rFonts w:ascii="Times" w:eastAsia="Times New Roman" w:hAnsi="Times" w:cs="Times New Roman"/>
          <w:i/>
          <w:iCs/>
          <w:color w:val="000000"/>
          <w:sz w:val="24"/>
          <w:szCs w:val="24"/>
          <w:lang w:eastAsia="es-MX"/>
        </w:rPr>
        <w:t>instrumental</w:t>
      </w:r>
      <w:r w:rsidRPr="00B204B5">
        <w:rPr>
          <w:rFonts w:ascii="Times" w:eastAsia="Times New Roman" w:hAnsi="Times" w:cs="Times New Roman"/>
          <w:color w:val="000000"/>
          <w:sz w:val="24"/>
          <w:szCs w:val="24"/>
          <w:lang w:eastAsia="es-MX"/>
        </w:rPr>
        <w:t>, cuando es seleccionado por el investigador para responder a un objetivo más amplio.</w:t>
      </w:r>
    </w:p>
    <w:p w14:paraId="7044AD6E" w14:textId="083170EF"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casos </w:t>
      </w:r>
      <w:r w:rsidRPr="00B204B5">
        <w:rPr>
          <w:rFonts w:ascii="Times" w:eastAsia="Times New Roman" w:hAnsi="Times" w:cs="Times New Roman"/>
          <w:i/>
          <w:iCs/>
          <w:color w:val="000000"/>
          <w:sz w:val="24"/>
          <w:szCs w:val="24"/>
          <w:lang w:eastAsia="es-MX"/>
        </w:rPr>
        <w:t>múltiple</w:t>
      </w:r>
      <w:r w:rsidRPr="00B204B5">
        <w:rPr>
          <w:rFonts w:ascii="Times" w:eastAsia="Times New Roman" w:hAnsi="Times" w:cs="Times New Roman"/>
          <w:color w:val="000000"/>
          <w:sz w:val="24"/>
          <w:szCs w:val="24"/>
          <w:lang w:eastAsia="es-MX"/>
        </w:rPr>
        <w:t>, cuando el investigador estudia un contexto en el que puede encontrar casos relevantes con similitudes y diferencias.</w:t>
      </w:r>
    </w:p>
    <w:p w14:paraId="15BE4C53" w14:textId="77777777" w:rsidR="00B204B5" w:rsidRPr="00B204B5" w:rsidRDefault="00B204B5" w:rsidP="00B204B5">
      <w:pPr>
        <w:shd w:val="clear" w:color="auto" w:fill="FFFFFF"/>
        <w:spacing w:before="100" w:beforeAutospacing="1" w:after="100" w:afterAutospacing="1" w:line="240" w:lineRule="auto"/>
        <w:ind w:left="360"/>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Gundermann</w:t>
      </w:r>
      <w:r w:rsidRPr="00B204B5">
        <w:rPr>
          <w:rFonts w:ascii="Times" w:eastAsia="Times New Roman" w:hAnsi="Times" w:cs="Times New Roman"/>
          <w:color w:val="000000"/>
          <w:sz w:val="24"/>
          <w:szCs w:val="24"/>
          <w:lang w:eastAsia="es-MX"/>
        </w:rPr>
        <w:t> indica los siguientes:</w:t>
      </w:r>
    </w:p>
    <w:p w14:paraId="4082CD44"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entendidos como entidades empíricas específicas que se establecen en el curso de la investigación.</w:t>
      </w:r>
    </w:p>
    <w:p w14:paraId="75097D9F"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como entidades empíricas generales, convencionales o anteriores a la investigación.</w:t>
      </w:r>
    </w:p>
    <w:p w14:paraId="08252763"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que corresponden a construcciones teóricas específicas en el curso de la investigación.</w:t>
      </w:r>
    </w:p>
    <w:p w14:paraId="1464C6BA"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como construcción teórica con carácter general y como producto de una comunidad científica.</w:t>
      </w:r>
    </w:p>
    <w:p w14:paraId="7928852A"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casos simples, que se centran en las particularidades del caso.</w:t>
      </w:r>
    </w:p>
    <w:p w14:paraId="228993EC"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Estudios de casos múltiples, que presentan evidencias y resultados más sólidos (Álvarez y Álvarez, en proceso).</w:t>
      </w:r>
    </w:p>
    <w:p w14:paraId="12FC7B5C" w14:textId="77777777" w:rsidR="00B204B5" w:rsidRPr="00B204B5" w:rsidRDefault="00B204B5"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w:t>
      </w:r>
      <w:r w:rsidRPr="00B204B5">
        <w:rPr>
          <w:rFonts w:ascii="Times" w:eastAsia="Times New Roman" w:hAnsi="Times" w:cs="Times New Roman"/>
          <w:b/>
          <w:bCs/>
          <w:color w:val="000000"/>
          <w:sz w:val="24"/>
          <w:szCs w:val="24"/>
          <w:lang w:eastAsia="es-MX"/>
        </w:rPr>
        <w:t>Álvarez</w:t>
      </w:r>
      <w:r w:rsidRPr="00B204B5">
        <w:rPr>
          <w:rFonts w:ascii="Times" w:eastAsia="Times New Roman" w:hAnsi="Times" w:cs="Times New Roman"/>
          <w:color w:val="000000"/>
          <w:sz w:val="24"/>
          <w:szCs w:val="24"/>
          <w:lang w:eastAsia="es-MX"/>
        </w:rPr>
        <w:t> señala que hay cuatro tipos y por tanto cuatro maneras de hacer el informe o reporte de investigación del caso:</w:t>
      </w:r>
    </w:p>
    <w:p w14:paraId="7B153BDB" w14:textId="4BB5AE5A"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w:t>
      </w:r>
      <w:r w:rsidRPr="00B204B5">
        <w:rPr>
          <w:rFonts w:ascii="Times" w:eastAsia="Times New Roman" w:hAnsi="Times" w:cs="Times New Roman"/>
          <w:i/>
          <w:iCs/>
          <w:color w:val="000000"/>
          <w:sz w:val="24"/>
          <w:szCs w:val="24"/>
          <w:lang w:eastAsia="es-MX"/>
        </w:rPr>
        <w:t>descriptivo-interpretativo</w:t>
      </w:r>
      <w:r w:rsidRPr="00B204B5">
        <w:rPr>
          <w:rFonts w:ascii="Times" w:eastAsia="Times New Roman" w:hAnsi="Times" w:cs="Times New Roman"/>
          <w:color w:val="000000"/>
          <w:sz w:val="24"/>
          <w:szCs w:val="24"/>
          <w:lang w:eastAsia="es-MX"/>
        </w:rPr>
        <w:t>, cuyo reporte se hace para explicar de manera pormenorizada el proceso experimentado en alguna etapa de la vida del caso.</w:t>
      </w:r>
    </w:p>
    <w:p w14:paraId="78A62CAD"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w:t>
      </w:r>
      <w:r w:rsidRPr="00B204B5">
        <w:rPr>
          <w:rFonts w:ascii="Times" w:eastAsia="Times New Roman" w:hAnsi="Times" w:cs="Times New Roman"/>
          <w:i/>
          <w:iCs/>
          <w:color w:val="000000"/>
          <w:sz w:val="24"/>
          <w:szCs w:val="24"/>
          <w:lang w:eastAsia="es-MX"/>
        </w:rPr>
        <w:t>evaluativo-interpretativo</w:t>
      </w:r>
      <w:r w:rsidRPr="00B204B5">
        <w:rPr>
          <w:rFonts w:ascii="Times" w:eastAsia="Times New Roman" w:hAnsi="Times" w:cs="Times New Roman"/>
          <w:color w:val="000000"/>
          <w:sz w:val="24"/>
          <w:szCs w:val="24"/>
          <w:lang w:eastAsia="es-MX"/>
        </w:rPr>
        <w:t>, que se orienta a recabar información para posibilitar la emisión de juicios de valor y la toma de decisiones con respecto a las propuestas de cambio.</w:t>
      </w:r>
    </w:p>
    <w:p w14:paraId="1A0CED40"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de </w:t>
      </w:r>
      <w:r w:rsidRPr="00B204B5">
        <w:rPr>
          <w:rFonts w:ascii="Times" w:eastAsia="Times New Roman" w:hAnsi="Times" w:cs="Times New Roman"/>
          <w:i/>
          <w:iCs/>
          <w:color w:val="000000"/>
          <w:sz w:val="24"/>
          <w:szCs w:val="24"/>
          <w:lang w:eastAsia="es-MX"/>
        </w:rPr>
        <w:t>intervención-descriptivo</w:t>
      </w:r>
      <w:r w:rsidRPr="00B204B5">
        <w:rPr>
          <w:rFonts w:ascii="Times" w:eastAsia="Times New Roman" w:hAnsi="Times" w:cs="Times New Roman"/>
          <w:color w:val="000000"/>
          <w:sz w:val="24"/>
          <w:szCs w:val="24"/>
          <w:lang w:eastAsia="es-MX"/>
        </w:rPr>
        <w:t>, en el que se detalla el por qué y para qué intervenir en el caso, así como la organización y planeación a seguir para lograr los resultados previstos.</w:t>
      </w:r>
    </w:p>
    <w:p w14:paraId="7CF66239"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de </w:t>
      </w:r>
      <w:r w:rsidRPr="00B204B5">
        <w:rPr>
          <w:rFonts w:ascii="Times" w:eastAsia="Times New Roman" w:hAnsi="Times" w:cs="Times New Roman"/>
          <w:i/>
          <w:iCs/>
          <w:color w:val="000000"/>
          <w:sz w:val="24"/>
          <w:szCs w:val="24"/>
          <w:lang w:eastAsia="es-MX"/>
        </w:rPr>
        <w:t>intervención-evaluativo</w:t>
      </w:r>
      <w:r w:rsidRPr="00B204B5">
        <w:rPr>
          <w:rFonts w:ascii="Times" w:eastAsia="Times New Roman" w:hAnsi="Times" w:cs="Times New Roman"/>
          <w:color w:val="000000"/>
          <w:sz w:val="24"/>
          <w:szCs w:val="24"/>
          <w:lang w:eastAsia="es-MX"/>
        </w:rPr>
        <w:t>, que implica valorar si el proceso de intervención fue el adecuado y asimismo estimar los alcances y limitaciones de las propuestas de mejora ( 2010, p. 11).</w:t>
      </w:r>
    </w:p>
    <w:p w14:paraId="13232AD5" w14:textId="13EE9A40"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lastRenderedPageBreak/>
        <w:t>Una vez que se determinó el tipo o modalidad de estudio de caso, se estructura el </w:t>
      </w:r>
      <w:r w:rsidRPr="00B204B5">
        <w:rPr>
          <w:rFonts w:ascii="Times" w:eastAsia="Times New Roman" w:hAnsi="Times" w:cs="Times New Roman"/>
          <w:b/>
          <w:bCs/>
          <w:i/>
          <w:iCs/>
          <w:color w:val="000000"/>
          <w:sz w:val="24"/>
          <w:szCs w:val="24"/>
          <w:lang w:eastAsia="es-MX"/>
        </w:rPr>
        <w:t>sistema de acopio de información</w:t>
      </w:r>
      <w:r w:rsidRPr="00B204B5">
        <w:rPr>
          <w:rFonts w:ascii="Times" w:eastAsia="Times New Roman" w:hAnsi="Times" w:cs="Times New Roman"/>
          <w:color w:val="000000"/>
          <w:sz w:val="24"/>
          <w:szCs w:val="24"/>
          <w:lang w:eastAsia="es-MX"/>
        </w:rPr>
        <w:t xml:space="preserve">, que consiste en precisar los contextos, las técnicas, procedimientos e instrumentos para recabar y sistematiza la información. </w:t>
      </w:r>
    </w:p>
    <w:p w14:paraId="472EE640" w14:textId="77777777"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Las </w:t>
      </w:r>
      <w:r w:rsidRPr="00B204B5">
        <w:rPr>
          <w:rFonts w:ascii="Times" w:eastAsia="Times New Roman" w:hAnsi="Times" w:cs="Times New Roman"/>
          <w:b/>
          <w:bCs/>
          <w:color w:val="000000"/>
          <w:sz w:val="24"/>
          <w:szCs w:val="24"/>
          <w:lang w:eastAsia="es-MX"/>
        </w:rPr>
        <w:t>técnicas</w:t>
      </w:r>
      <w:r w:rsidRPr="00B204B5">
        <w:rPr>
          <w:rFonts w:ascii="Times" w:eastAsia="Times New Roman" w:hAnsi="Times" w:cs="Times New Roman"/>
          <w:color w:val="000000"/>
          <w:sz w:val="24"/>
          <w:szCs w:val="24"/>
          <w:lang w:eastAsia="es-MX"/>
        </w:rPr>
        <w:t> son los modos o maneras en que se realiza el acopio de información, como: la entrevista, la encuesta y la observación. Los </w:t>
      </w:r>
      <w:r w:rsidRPr="00B204B5">
        <w:rPr>
          <w:rFonts w:ascii="Times" w:eastAsia="Times New Roman" w:hAnsi="Times" w:cs="Times New Roman"/>
          <w:b/>
          <w:bCs/>
          <w:color w:val="000000"/>
          <w:sz w:val="24"/>
          <w:szCs w:val="24"/>
          <w:lang w:eastAsia="es-MX"/>
        </w:rPr>
        <w:t>procedimientos</w:t>
      </w:r>
      <w:r w:rsidRPr="00B204B5">
        <w:rPr>
          <w:rFonts w:ascii="Times" w:eastAsia="Times New Roman" w:hAnsi="Times" w:cs="Times New Roman"/>
          <w:color w:val="000000"/>
          <w:sz w:val="24"/>
          <w:szCs w:val="24"/>
          <w:lang w:eastAsia="es-MX"/>
        </w:rPr>
        <w:t> refieren a las condiciones específicas de ejecución o realización de las técnicas, así la observación puede ser participativa o no participativa, la entrevista estructurada, semiestructurada o no estructurada y la encuesta por cuestionario o entrevista.</w:t>
      </w:r>
    </w:p>
    <w:p w14:paraId="1F8302AE" w14:textId="0FA35F97"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los </w:t>
      </w:r>
      <w:r w:rsidRPr="00B204B5">
        <w:rPr>
          <w:rFonts w:ascii="Times" w:eastAsia="Times New Roman" w:hAnsi="Times" w:cs="Times New Roman"/>
          <w:b/>
          <w:bCs/>
          <w:color w:val="000000"/>
          <w:sz w:val="24"/>
          <w:szCs w:val="24"/>
          <w:lang w:eastAsia="es-MX"/>
        </w:rPr>
        <w:t>instrumentos</w:t>
      </w:r>
      <w:r w:rsidRPr="00B204B5">
        <w:rPr>
          <w:rFonts w:ascii="Times" w:eastAsia="Times New Roman" w:hAnsi="Times" w:cs="Times New Roman"/>
          <w:color w:val="000000"/>
          <w:sz w:val="24"/>
          <w:szCs w:val="24"/>
          <w:lang w:eastAsia="es-MX"/>
        </w:rPr>
        <w:t> son los medios o recursos que se emplean para recabar , sistematizar y almacenar la información obtenida, por ejemplo.</w:t>
      </w:r>
    </w:p>
    <w:p w14:paraId="581C45B8" w14:textId="77777777" w:rsidR="00B204B5" w:rsidRPr="00B204B5" w:rsidRDefault="00B204B5" w:rsidP="00B204B5">
      <w:pPr>
        <w:jc w:val="both"/>
        <w:rPr>
          <w:rFonts w:ascii="Times" w:hAnsi="Times"/>
          <w:sz w:val="24"/>
          <w:szCs w:val="24"/>
        </w:rPr>
      </w:pPr>
      <w:r w:rsidRPr="00B204B5">
        <w:rPr>
          <w:rFonts w:ascii="Times" w:hAnsi="Times"/>
          <w:sz w:val="24"/>
          <w:szCs w:val="24"/>
        </w:rPr>
        <w:t>Son diversos los medios y recursos tecnológicos que se pueden usar para grabar y guardar la información, como: los teléfonos celulares, tabletas, cámaras y grabadoras digitales, que facilitan en tiempo y forma el registro de comportamientos, actividades, testimonios  en diversos contextos</w:t>
      </w:r>
    </w:p>
    <w:p w14:paraId="4FAB8E2B" w14:textId="77777777" w:rsidR="00B204B5" w:rsidRPr="00B204B5" w:rsidRDefault="00B204B5" w:rsidP="00B204B5">
      <w:pPr>
        <w:jc w:val="both"/>
        <w:rPr>
          <w:rFonts w:ascii="Times" w:hAnsi="Times"/>
          <w:sz w:val="24"/>
          <w:szCs w:val="24"/>
        </w:rPr>
      </w:pPr>
      <w:r w:rsidRPr="00B204B5">
        <w:rPr>
          <w:rFonts w:ascii="Times" w:hAnsi="Times"/>
          <w:sz w:val="24"/>
          <w:szCs w:val="24"/>
        </w:rPr>
        <w:t>En este sentido las técnicas y procedimienos se puede realizar a través de diversos procedimientos:</w:t>
      </w:r>
    </w:p>
    <w:p w14:paraId="74586E38" w14:textId="12F5126D" w:rsidR="00B204B5" w:rsidRPr="00B204B5" w:rsidRDefault="00B204B5" w:rsidP="00B204B5">
      <w:pPr>
        <w:jc w:val="both"/>
        <w:rPr>
          <w:rFonts w:ascii="Times" w:hAnsi="Times"/>
          <w:sz w:val="24"/>
          <w:szCs w:val="24"/>
        </w:rPr>
      </w:pPr>
      <w:r w:rsidRPr="00B204B5">
        <w:rPr>
          <w:rFonts w:ascii="Times" w:hAnsi="Times"/>
          <w:b/>
          <w:bCs/>
          <w:sz w:val="24"/>
          <w:szCs w:val="24"/>
        </w:rPr>
        <w:t>Observación no participativa:</w:t>
      </w:r>
      <w:r>
        <w:rPr>
          <w:rFonts w:ascii="Times" w:hAnsi="Times"/>
          <w:sz w:val="24"/>
          <w:szCs w:val="24"/>
        </w:rPr>
        <w:t xml:space="preserve"> </w:t>
      </w:r>
      <w:r w:rsidRPr="00B204B5">
        <w:rPr>
          <w:rFonts w:ascii="Times" w:hAnsi="Times"/>
          <w:sz w:val="24"/>
          <w:szCs w:val="24"/>
        </w:rPr>
        <w:t>El investigador no forma parte del proceso.</w:t>
      </w:r>
    </w:p>
    <w:p w14:paraId="528068BF" w14:textId="0498C266" w:rsidR="00B204B5" w:rsidRPr="00B204B5" w:rsidRDefault="00B204B5" w:rsidP="00B204B5">
      <w:pPr>
        <w:jc w:val="both"/>
        <w:rPr>
          <w:rFonts w:ascii="Times" w:hAnsi="Times"/>
          <w:sz w:val="24"/>
          <w:szCs w:val="24"/>
        </w:rPr>
      </w:pPr>
      <w:r w:rsidRPr="00B204B5">
        <w:rPr>
          <w:rFonts w:ascii="Times" w:hAnsi="Times"/>
          <w:b/>
          <w:bCs/>
          <w:sz w:val="24"/>
          <w:szCs w:val="24"/>
        </w:rPr>
        <w:t xml:space="preserve">Observación participativa: </w:t>
      </w:r>
      <w:r w:rsidRPr="00B204B5">
        <w:rPr>
          <w:rFonts w:ascii="Times" w:hAnsi="Times"/>
          <w:sz w:val="24"/>
          <w:szCs w:val="24"/>
        </w:rPr>
        <w:t>El investigador forma parte del proceso.</w:t>
      </w:r>
    </w:p>
    <w:p w14:paraId="4F738030" w14:textId="2FCB9279" w:rsidR="00B204B5" w:rsidRPr="00B204B5" w:rsidRDefault="00B204B5" w:rsidP="00B204B5">
      <w:pPr>
        <w:jc w:val="both"/>
        <w:rPr>
          <w:rFonts w:ascii="Times" w:hAnsi="Times"/>
          <w:sz w:val="24"/>
          <w:szCs w:val="24"/>
        </w:rPr>
      </w:pPr>
      <w:r w:rsidRPr="00B204B5">
        <w:rPr>
          <w:rFonts w:ascii="Times" w:hAnsi="Times"/>
          <w:b/>
          <w:bCs/>
          <w:sz w:val="24"/>
          <w:szCs w:val="24"/>
        </w:rPr>
        <w:t>Entrevista estructurada:</w:t>
      </w:r>
      <w:r>
        <w:rPr>
          <w:rFonts w:ascii="Times" w:hAnsi="Times"/>
          <w:sz w:val="24"/>
          <w:szCs w:val="24"/>
        </w:rPr>
        <w:t xml:space="preserve"> </w:t>
      </w:r>
      <w:r w:rsidRPr="00B204B5">
        <w:rPr>
          <w:rFonts w:ascii="Times" w:hAnsi="Times"/>
          <w:sz w:val="24"/>
          <w:szCs w:val="24"/>
        </w:rPr>
        <w:t>En la que el investigador formula un listado de preguntas que pueden ser abiertas o cerradas. En ésta se pueden emplear los cuestionarios por escrito.</w:t>
      </w:r>
    </w:p>
    <w:p w14:paraId="5FC42B15" w14:textId="62464080" w:rsidR="00B204B5" w:rsidRPr="00B204B5" w:rsidRDefault="00B204B5" w:rsidP="00B204B5">
      <w:pPr>
        <w:jc w:val="both"/>
        <w:rPr>
          <w:rFonts w:ascii="Times" w:hAnsi="Times"/>
          <w:sz w:val="24"/>
          <w:szCs w:val="24"/>
        </w:rPr>
      </w:pPr>
      <w:r w:rsidRPr="00B204B5">
        <w:rPr>
          <w:rFonts w:ascii="Times" w:hAnsi="Times"/>
          <w:b/>
          <w:bCs/>
          <w:sz w:val="24"/>
          <w:szCs w:val="24"/>
        </w:rPr>
        <w:t>Entrevista semiestructurada:</w:t>
      </w:r>
      <w:r>
        <w:rPr>
          <w:rFonts w:ascii="Times" w:hAnsi="Times"/>
          <w:sz w:val="24"/>
          <w:szCs w:val="24"/>
        </w:rPr>
        <w:t xml:space="preserve"> </w:t>
      </w:r>
      <w:r w:rsidRPr="00B204B5">
        <w:rPr>
          <w:rFonts w:ascii="Times" w:hAnsi="Times"/>
          <w:sz w:val="24"/>
          <w:szCs w:val="24"/>
        </w:rPr>
        <w:t>Que parte de preguntas preestablecidas, cuyas respuestas pueden ser de opción múltiple o bien por preguntas abiertas que posibilitan al entrevistado exponer sus opiniones, así como explicaciones en un intercambio con quien lo entrevista, lo más natural posible.</w:t>
      </w:r>
    </w:p>
    <w:p w14:paraId="03B5B4E0" w14:textId="594DE3A9" w:rsidR="00B204B5" w:rsidRPr="00B204B5" w:rsidRDefault="00B204B5" w:rsidP="00B204B5">
      <w:pPr>
        <w:jc w:val="both"/>
        <w:rPr>
          <w:rFonts w:ascii="Times" w:hAnsi="Times"/>
          <w:sz w:val="24"/>
          <w:szCs w:val="24"/>
        </w:rPr>
      </w:pPr>
      <w:r w:rsidRPr="00B204B5">
        <w:rPr>
          <w:rFonts w:ascii="Times" w:hAnsi="Times"/>
          <w:b/>
          <w:bCs/>
          <w:sz w:val="24"/>
          <w:szCs w:val="24"/>
        </w:rPr>
        <w:t>Entrevista no estructurada:</w:t>
      </w:r>
      <w:r>
        <w:rPr>
          <w:rFonts w:ascii="Times" w:hAnsi="Times"/>
          <w:sz w:val="24"/>
          <w:szCs w:val="24"/>
        </w:rPr>
        <w:t xml:space="preserve"> Q</w:t>
      </w:r>
      <w:r w:rsidRPr="00B204B5">
        <w:rPr>
          <w:rFonts w:ascii="Times" w:hAnsi="Times"/>
          <w:sz w:val="24"/>
          <w:szCs w:val="24"/>
        </w:rPr>
        <w:t>ue se realiza sin un guión previo, es decir quien entrevista formula una pregunta al entrevistado, y dependiendo del contenido de su respuesta, el entrevistador de nueva cuenta formulará otra pregunta con la intensión de obtener mayor información sobre los aspectos que señala el entrevistado. La pregunta con la que se inicia la entrevista, suele enunciarse como pregunta eje, y las subsecuentes debe ir en correspondencia con la indagación que el entrevistador haya establecido como objetivo.</w:t>
      </w:r>
    </w:p>
    <w:p w14:paraId="35323E67" w14:textId="431E7BA2" w:rsidR="00B204B5" w:rsidRPr="00B204B5" w:rsidRDefault="00B204B5" w:rsidP="00B204B5">
      <w:pPr>
        <w:jc w:val="both"/>
        <w:rPr>
          <w:rFonts w:ascii="Times" w:hAnsi="Times"/>
          <w:sz w:val="24"/>
          <w:szCs w:val="24"/>
        </w:rPr>
      </w:pPr>
      <w:r w:rsidRPr="00B204B5">
        <w:rPr>
          <w:rFonts w:ascii="Times" w:hAnsi="Times"/>
          <w:b/>
          <w:bCs/>
          <w:sz w:val="24"/>
          <w:szCs w:val="24"/>
        </w:rPr>
        <w:t>Encuesta por cuestionario:</w:t>
      </w:r>
      <w:r>
        <w:rPr>
          <w:rFonts w:ascii="Times" w:hAnsi="Times"/>
          <w:sz w:val="24"/>
          <w:szCs w:val="24"/>
        </w:rPr>
        <w:t xml:space="preserve"> </w:t>
      </w:r>
      <w:r w:rsidRPr="00B204B5">
        <w:rPr>
          <w:rFonts w:ascii="Times" w:hAnsi="Times"/>
          <w:sz w:val="24"/>
          <w:szCs w:val="24"/>
        </w:rPr>
        <w:t>Se elabora y realiza siguiendo un listado de preguntas para conocer hechos, opiniones o actitudes que las personas vivenciaron y que pueden reportar.</w:t>
      </w:r>
    </w:p>
    <w:p w14:paraId="433881FF" w14:textId="71D4F4BF" w:rsidR="00B204B5" w:rsidRPr="00B204B5" w:rsidRDefault="00B204B5" w:rsidP="00B204B5">
      <w:pPr>
        <w:jc w:val="both"/>
        <w:rPr>
          <w:rFonts w:ascii="Times" w:hAnsi="Times"/>
          <w:b/>
          <w:bCs/>
          <w:sz w:val="24"/>
          <w:szCs w:val="24"/>
        </w:rPr>
      </w:pPr>
      <w:r w:rsidRPr="00B204B5">
        <w:rPr>
          <w:rFonts w:ascii="Times" w:hAnsi="Times"/>
          <w:b/>
          <w:bCs/>
          <w:sz w:val="24"/>
          <w:szCs w:val="24"/>
        </w:rPr>
        <w:t>Encuesta por entrevista</w:t>
      </w:r>
      <w:r>
        <w:rPr>
          <w:rFonts w:ascii="Times" w:hAnsi="Times"/>
          <w:b/>
          <w:bCs/>
          <w:sz w:val="24"/>
          <w:szCs w:val="24"/>
        </w:rPr>
        <w:t xml:space="preserve">: </w:t>
      </w:r>
      <w:r w:rsidRPr="00B204B5">
        <w:rPr>
          <w:rFonts w:ascii="Times" w:hAnsi="Times"/>
          <w:sz w:val="24"/>
          <w:szCs w:val="24"/>
        </w:rPr>
        <w:t>Que recopila testimonios orales sobre hechos, opiniones y actitudes de las personas y según sean las finalidades, las preguntas pueden ser cerradas o abiertas, realizándose de manera personal o a través del uso del correo (postal o electrónico) o por vía telefónica.</w:t>
      </w:r>
    </w:p>
    <w:p w14:paraId="69DFEF1F" w14:textId="77777777" w:rsidR="00B204B5" w:rsidRPr="00B204B5" w:rsidRDefault="00B204B5" w:rsidP="00B204B5">
      <w:pPr>
        <w:jc w:val="both"/>
        <w:rPr>
          <w:rFonts w:ascii="Times" w:hAnsi="Times"/>
          <w:sz w:val="24"/>
          <w:szCs w:val="24"/>
        </w:rPr>
      </w:pPr>
      <w:r w:rsidRPr="00B204B5">
        <w:rPr>
          <w:rFonts w:ascii="Times" w:hAnsi="Times"/>
          <w:sz w:val="24"/>
          <w:szCs w:val="24"/>
        </w:rPr>
        <w:t>Estos dos tipos de encuesta tienen en común el dirigirse a un mayor número de personas, por lo que se emplea un cuestionario que se recomienda sea de opción múltiple para facilitar la cuantificación y análisis de las respuestas.</w:t>
      </w:r>
    </w:p>
    <w:p w14:paraId="530C2D42" w14:textId="6273B767" w:rsidR="00B204B5" w:rsidRPr="00B204B5" w:rsidRDefault="00B204B5" w:rsidP="00B204B5">
      <w:pPr>
        <w:jc w:val="both"/>
        <w:rPr>
          <w:rFonts w:ascii="Times" w:hAnsi="Times"/>
          <w:b/>
          <w:bCs/>
          <w:sz w:val="24"/>
          <w:szCs w:val="24"/>
        </w:rPr>
      </w:pPr>
      <w:r w:rsidRPr="00B204B5">
        <w:rPr>
          <w:rFonts w:ascii="Times" w:hAnsi="Times"/>
          <w:b/>
          <w:bCs/>
          <w:sz w:val="24"/>
          <w:szCs w:val="24"/>
        </w:rPr>
        <w:t>Los instrumentos:</w:t>
      </w:r>
      <w:r>
        <w:rPr>
          <w:rFonts w:ascii="Times" w:hAnsi="Times"/>
          <w:b/>
          <w:bCs/>
          <w:sz w:val="24"/>
          <w:szCs w:val="24"/>
        </w:rPr>
        <w:t xml:space="preserve"> </w:t>
      </w:r>
      <w:r w:rsidRPr="00B204B5">
        <w:rPr>
          <w:rFonts w:ascii="Times" w:hAnsi="Times"/>
          <w:sz w:val="24"/>
          <w:szCs w:val="24"/>
        </w:rPr>
        <w:t xml:space="preserve">Son los medios o recursos que se emplean para recabar la información que se necesita conocer, comprender, explicar o evaluar y su diseño está en correspondencia con la </w:t>
      </w:r>
      <w:r w:rsidRPr="00B204B5">
        <w:rPr>
          <w:rFonts w:ascii="Times" w:hAnsi="Times"/>
          <w:sz w:val="24"/>
          <w:szCs w:val="24"/>
        </w:rPr>
        <w:lastRenderedPageBreak/>
        <w:t>dimensión tecno-procedimental que se sigue. Por tanto para la observación, sea participativa o no, se puede emplear:</w:t>
      </w:r>
    </w:p>
    <w:p w14:paraId="16C3C76C" w14:textId="736C479B" w:rsidR="00B204B5" w:rsidRPr="00B204B5" w:rsidRDefault="00B204B5" w:rsidP="00B204B5">
      <w:pPr>
        <w:jc w:val="both"/>
        <w:rPr>
          <w:rFonts w:ascii="Times" w:hAnsi="Times"/>
          <w:b/>
          <w:bCs/>
          <w:sz w:val="24"/>
          <w:szCs w:val="24"/>
        </w:rPr>
      </w:pPr>
      <w:r w:rsidRPr="00B204B5">
        <w:rPr>
          <w:rFonts w:ascii="Times" w:hAnsi="Times"/>
          <w:b/>
          <w:bCs/>
          <w:sz w:val="24"/>
          <w:szCs w:val="24"/>
        </w:rPr>
        <w:t>El diario de campo:</w:t>
      </w:r>
      <w:r>
        <w:rPr>
          <w:rFonts w:ascii="Times" w:hAnsi="Times"/>
          <w:b/>
          <w:bCs/>
          <w:sz w:val="24"/>
          <w:szCs w:val="24"/>
        </w:rPr>
        <w:t xml:space="preserve"> </w:t>
      </w:r>
      <w:r w:rsidRPr="00B204B5">
        <w:rPr>
          <w:rFonts w:ascii="Times" w:hAnsi="Times"/>
          <w:sz w:val="24"/>
          <w:szCs w:val="24"/>
        </w:rPr>
        <w:t>Es un instrumento para recabar información descriptiva sobre eventos que acontecen a diario en un salón, escuela, comunidad, etcétera. Un ejemplo de formato es el siguiente:</w:t>
      </w:r>
    </w:p>
    <w:p w14:paraId="6DAF3A7C" w14:textId="38277178" w:rsid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El contexto familiar es el contexto con el que el niño se familiariza y aprende de forma permanente como enfrentarse a los retos de la vida, desde la comunicación, el lenguaje verbal, lenguaje corporal, es el primer contexto en la enseñanza que el niño vive, aprende de manera muy rápida de lo que observa a su alrededor, el núcleo de personas con las que convive a diario, aprende y copia conductas de cada una de las personas, empieza a categorizar y escoger que actitudes copiar para apropiarse de sí, sentirse en familia.</w:t>
      </w:r>
    </w:p>
    <w:p w14:paraId="5C38D851"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291FE856" w14:textId="2B213915" w:rsidR="00B204B5" w:rsidRPr="00B204B5" w:rsidRDefault="00B204B5" w:rsidP="00B204B5">
      <w:pPr>
        <w:jc w:val="both"/>
        <w:rPr>
          <w:rFonts w:ascii="Times" w:hAnsi="Times" w:cs="AppleSystemUIFont"/>
          <w:sz w:val="24"/>
          <w:szCs w:val="24"/>
        </w:rPr>
      </w:pPr>
      <w:r w:rsidRPr="00B204B5">
        <w:rPr>
          <w:rFonts w:ascii="Times" w:hAnsi="Times" w:cs="AppleSystemUIFont"/>
          <w:sz w:val="24"/>
          <w:szCs w:val="24"/>
        </w:rPr>
        <w:t>El ambiente de aula, la composición y la estructura del sitio al que asisten de forma diaria para educarse, suele ser el segundo contexto en la enseñanza más significativo, allí pueden aprender habilidades, competencias, aptitudes y actitudes para la vida, el contexto escolar, debería apostar por la mejora de cada estudiante, en todos los aspectos de su vida, este debería permitir la educación de los estudiantes de forma integral.</w:t>
      </w:r>
    </w:p>
    <w:p w14:paraId="2C8D1E19"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 xml:space="preserve">El estudio de un caso es un método que se emplea para realizar investigaciones ya sea de procesos sociales o educativos. </w:t>
      </w:r>
    </w:p>
    <w:p w14:paraId="50988788" w14:textId="7395D0DB" w:rsidR="00BB74D2" w:rsidRPr="00B204B5" w:rsidRDefault="00B204B5" w:rsidP="00B204B5">
      <w:pPr>
        <w:jc w:val="both"/>
        <w:rPr>
          <w:rFonts w:ascii="Times" w:eastAsia="Times New Roman" w:hAnsi="Times" w:cs="Times New Roman"/>
          <w:b/>
          <w:color w:val="000000"/>
          <w:sz w:val="24"/>
          <w:szCs w:val="24"/>
          <w:lang w:eastAsia="es-MX"/>
        </w:rPr>
      </w:pPr>
      <w:r w:rsidRPr="00B204B5">
        <w:rPr>
          <w:rFonts w:ascii="Times" w:hAnsi="Times" w:cs="AppleSystemUIFont"/>
          <w:sz w:val="24"/>
          <w:szCs w:val="24"/>
        </w:rPr>
        <w:t>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14:paraId="069455FC"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Sin informantes clave no es posible la investigación de un caso, pues como indica Stake: “Los modelos cualitativos requieren que las personas más responsables de la interpretación estén en el trabajo de campo, haciendo observaciones, emitiendo juicios subjetivos, analizando y resumiendo, a la vez que se dan cuenta de su propia conciencia” (2007, p. 45).</w:t>
      </w:r>
    </w:p>
    <w:p w14:paraId="03B35567"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Una vez que se ha recabado y sistematizado la información, es necesario </w:t>
      </w:r>
      <w:r w:rsidRPr="00B204B5">
        <w:rPr>
          <w:rFonts w:ascii="Times" w:eastAsia="Times New Roman" w:hAnsi="Times" w:cs="Times New Roman"/>
          <w:b/>
          <w:bCs/>
          <w:i/>
          <w:iCs/>
          <w:color w:val="000000"/>
          <w:sz w:val="24"/>
          <w:szCs w:val="24"/>
          <w:lang w:eastAsia="es-MX"/>
        </w:rPr>
        <w:t>organizarla</w:t>
      </w:r>
      <w:r w:rsidRPr="00B204B5">
        <w:rPr>
          <w:rFonts w:ascii="Times" w:eastAsia="Times New Roman" w:hAnsi="Times" w:cs="Times New Roman"/>
          <w:color w:val="000000"/>
          <w:sz w:val="24"/>
          <w:szCs w:val="24"/>
          <w:lang w:eastAsia="es-MX"/>
        </w:rPr>
        <w:t> para proceder a su análisis e interpretación, funciones cognitivas que el investigador realiza para explicar el caso.</w:t>
      </w:r>
    </w:p>
    <w:p w14:paraId="11E01462"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Para concluir el estudio de caso se debe elaborar un </w:t>
      </w:r>
      <w:r w:rsidRPr="00B204B5">
        <w:rPr>
          <w:rFonts w:ascii="Times" w:eastAsia="Times New Roman" w:hAnsi="Times" w:cs="Times New Roman"/>
          <w:b/>
          <w:bCs/>
          <w:i/>
          <w:iCs/>
          <w:color w:val="000000"/>
          <w:sz w:val="24"/>
          <w:szCs w:val="24"/>
          <w:lang w:eastAsia="es-MX"/>
        </w:rPr>
        <w:t>informe final</w:t>
      </w:r>
      <w:r w:rsidRPr="00B204B5">
        <w:rPr>
          <w:rFonts w:ascii="Times" w:eastAsia="Times New Roman" w:hAnsi="Times" w:cs="Times New Roman"/>
          <w:color w:val="000000"/>
          <w:sz w:val="24"/>
          <w:szCs w:val="24"/>
          <w:lang w:eastAsia="es-MX"/>
        </w:rPr>
        <w:t>, que puede estructurarse en correspondencia con el tipo o modalidad seleccionada</w:t>
      </w:r>
    </w:p>
    <w:p w14:paraId="5C7A9D69" w14:textId="77777777" w:rsidR="00BB74D2" w:rsidRPr="00B204B5" w:rsidRDefault="00BB74D2"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Stake</w:t>
      </w:r>
      <w:r w:rsidRPr="00B204B5">
        <w:rPr>
          <w:rFonts w:ascii="Times" w:eastAsia="Times New Roman" w:hAnsi="Times" w:cs="Times New Roman"/>
          <w:color w:val="000000"/>
          <w:sz w:val="24"/>
          <w:szCs w:val="24"/>
          <w:lang w:eastAsia="es-MX"/>
        </w:rPr>
        <w:t>, propone 6 pasos:</w:t>
      </w:r>
    </w:p>
    <w:p w14:paraId="66F5AC9E"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Selección del caso, considerando el acceso a la información y tiempo.</w:t>
      </w:r>
    </w:p>
    <w:p w14:paraId="79EC23AE"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Estructura conceptual, a partir de preguntas temáticas o básicas de la investigación.</w:t>
      </w:r>
    </w:p>
    <w:p w14:paraId="7321B4D5"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Preguntas sobre el interés del investigador y lo que se va a observar del caso.</w:t>
      </w:r>
    </w:p>
    <w:p w14:paraId="6F233B7F"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Elaboración de puentes conceptuales, considerando el acopio de la información y los esquemas para presentar las interpretaciones.</w:t>
      </w:r>
    </w:p>
    <w:p w14:paraId="35AE7B89"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Recogida de datos, realización de observaciones, entrevistas, descripciones del contexto y revisión de documentos.</w:t>
      </w:r>
    </w:p>
    <w:p w14:paraId="01C60F1D"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Análisis e interpretación de lo acopiado, estableciendo categorías, correspondencia y conclusiones (Álvarez y Álvarez, en proceso).</w:t>
      </w:r>
    </w:p>
    <w:p w14:paraId="263E84EF" w14:textId="77777777" w:rsidR="00BB74D2" w:rsidRPr="00B204B5" w:rsidRDefault="00BB74D2"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lastRenderedPageBreak/>
        <w:t>Finalmente hay que enunciar que un estudio de caso requiere de las siguientes condiciones:</w:t>
      </w:r>
    </w:p>
    <w:p w14:paraId="477E7D8C"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Tener certeza del acceso al caso.</w:t>
      </w:r>
    </w:p>
    <w:p w14:paraId="5AA34198"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Contar con la disposición de los informantes clave.</w:t>
      </w:r>
    </w:p>
    <w:p w14:paraId="441846F9"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Acopiar la información en tiempo y forma.</w:t>
      </w:r>
    </w:p>
    <w:p w14:paraId="0D9A92A5" w14:textId="0E45E9A6"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Seleccionar de manera adecuada el tipo de técnica, procedimiento, instrumento e insumo para recabar y sistematizar la información.</w:t>
      </w:r>
    </w:p>
    <w:p w14:paraId="7DF87205" w14:textId="61B6D10A" w:rsidR="006E3C6D" w:rsidRDefault="00B204B5" w:rsidP="00B204B5">
      <w:pPr>
        <w:jc w:val="both"/>
        <w:rPr>
          <w:rFonts w:ascii="Times" w:hAnsi="Times" w:cs="AppleSystemUIFont"/>
          <w:sz w:val="24"/>
          <w:szCs w:val="24"/>
        </w:rPr>
      </w:pPr>
      <w:r w:rsidRPr="00B204B5">
        <w:rPr>
          <w:rFonts w:ascii="Times" w:hAnsi="Times" w:cs="AppleSystemUIFont"/>
          <w:sz w:val="24"/>
          <w:szCs w:val="24"/>
        </w:rPr>
        <w:t>Para la elaboración del informe final es necesario establecer una propuesta de estructura, como bien señala McKernan: “…no es simplemente un registro cronológico de acontecimientos y acciones. No es una enumeración de los hechos desnudos […]. Se debe ir más allá de los hechos e interpretarlos y explicarlos [con evidencias]” (1999, p. 99).</w:t>
      </w:r>
    </w:p>
    <w:p w14:paraId="1515003D" w14:textId="368CA27C" w:rsidR="004067BC" w:rsidRDefault="004067BC" w:rsidP="006E3C6D">
      <w:pPr>
        <w:rPr>
          <w:rFonts w:ascii="Times" w:hAnsi="Times" w:cs="AppleSystemUIFont"/>
          <w:sz w:val="24"/>
          <w:szCs w:val="24"/>
        </w:rPr>
      </w:pPr>
    </w:p>
    <w:p w14:paraId="4C42388D" w14:textId="77777777" w:rsidR="006E3C6D" w:rsidRDefault="006E3C6D" w:rsidP="006E3C6D">
      <w:pPr>
        <w:rPr>
          <w:rFonts w:ascii="Times" w:hAnsi="Times" w:cs="AppleSystemUIFont"/>
          <w:sz w:val="24"/>
          <w:szCs w:val="24"/>
        </w:rPr>
      </w:pPr>
    </w:p>
    <w:p w14:paraId="0FCDFE28" w14:textId="77777777" w:rsidR="006E3C6D" w:rsidRDefault="006E3C6D" w:rsidP="006E3C6D">
      <w:pPr>
        <w:jc w:val="center"/>
        <w:rPr>
          <w:rFonts w:ascii="Times" w:hAnsi="Times" w:cs="AppleSystemUIFont"/>
          <w:b/>
          <w:bCs/>
          <w:i/>
          <w:iCs/>
          <w:sz w:val="28"/>
          <w:szCs w:val="26"/>
        </w:rPr>
      </w:pPr>
    </w:p>
    <w:p w14:paraId="3749AD9B" w14:textId="77777777" w:rsidR="006E3C6D" w:rsidRDefault="006E3C6D" w:rsidP="006E3C6D">
      <w:pPr>
        <w:jc w:val="center"/>
        <w:rPr>
          <w:rFonts w:ascii="Times" w:hAnsi="Times" w:cs="AppleSystemUIFont"/>
          <w:b/>
          <w:bCs/>
          <w:i/>
          <w:iCs/>
          <w:sz w:val="28"/>
          <w:szCs w:val="26"/>
        </w:rPr>
      </w:pPr>
    </w:p>
    <w:p w14:paraId="30EBB12B" w14:textId="77777777" w:rsidR="006E3C6D" w:rsidRDefault="006E3C6D" w:rsidP="006E3C6D">
      <w:pPr>
        <w:jc w:val="center"/>
        <w:rPr>
          <w:rFonts w:ascii="Times" w:hAnsi="Times" w:cs="AppleSystemUIFont"/>
          <w:b/>
          <w:bCs/>
          <w:i/>
          <w:iCs/>
          <w:sz w:val="28"/>
          <w:szCs w:val="26"/>
        </w:rPr>
      </w:pPr>
    </w:p>
    <w:p w14:paraId="49006CE6" w14:textId="77777777" w:rsidR="006E3C6D" w:rsidRDefault="006E3C6D" w:rsidP="006E3C6D">
      <w:pPr>
        <w:jc w:val="center"/>
        <w:rPr>
          <w:rFonts w:ascii="Times" w:hAnsi="Times" w:cs="AppleSystemUIFont"/>
          <w:b/>
          <w:bCs/>
          <w:i/>
          <w:iCs/>
          <w:sz w:val="28"/>
          <w:szCs w:val="26"/>
        </w:rPr>
      </w:pPr>
    </w:p>
    <w:p w14:paraId="383A9828" w14:textId="77777777" w:rsidR="006E3C6D" w:rsidRDefault="006E3C6D" w:rsidP="006E3C6D">
      <w:pPr>
        <w:jc w:val="center"/>
        <w:rPr>
          <w:rFonts w:ascii="Times" w:hAnsi="Times" w:cs="AppleSystemUIFont"/>
          <w:b/>
          <w:bCs/>
          <w:i/>
          <w:iCs/>
          <w:sz w:val="28"/>
          <w:szCs w:val="26"/>
        </w:rPr>
      </w:pPr>
    </w:p>
    <w:p w14:paraId="099F47D5" w14:textId="77777777" w:rsidR="006E3C6D" w:rsidRDefault="006E3C6D" w:rsidP="006E3C6D">
      <w:pPr>
        <w:jc w:val="center"/>
        <w:rPr>
          <w:rFonts w:ascii="Times" w:hAnsi="Times" w:cs="AppleSystemUIFont"/>
          <w:b/>
          <w:bCs/>
          <w:i/>
          <w:iCs/>
          <w:sz w:val="28"/>
          <w:szCs w:val="26"/>
        </w:rPr>
      </w:pPr>
    </w:p>
    <w:p w14:paraId="6997B98B" w14:textId="3AEBF83E" w:rsidR="006E3C6D" w:rsidRPr="006E3C6D" w:rsidRDefault="006E3C6D" w:rsidP="006E3C6D">
      <w:pPr>
        <w:jc w:val="center"/>
        <w:rPr>
          <w:rFonts w:ascii="Times" w:hAnsi="Times" w:cs="AppleSystemUIFont"/>
          <w:b/>
          <w:bCs/>
          <w:i/>
          <w:iCs/>
          <w:sz w:val="28"/>
          <w:szCs w:val="26"/>
        </w:rPr>
      </w:pPr>
      <w:r w:rsidRPr="006E3C6D">
        <w:rPr>
          <w:rFonts w:ascii="Times" w:hAnsi="Times" w:cs="AppleSystemUIFont"/>
          <w:b/>
          <w:bCs/>
          <w:i/>
          <w:iCs/>
          <w:sz w:val="28"/>
          <w:szCs w:val="26"/>
        </w:rPr>
        <w:t>PREGUNTAS CORRESPONDIENTES PARA LA INVESTIGACIÓN</w:t>
      </w:r>
    </w:p>
    <w:p w14:paraId="16741ABA" w14:textId="77777777" w:rsidR="006E3C6D" w:rsidRPr="006E3C6D" w:rsidRDefault="006E3C6D" w:rsidP="006E3C6D">
      <w:pPr>
        <w:pStyle w:val="Prrafodelista"/>
        <w:rPr>
          <w:rFonts w:ascii="Times" w:hAnsi="Times" w:cs="AppleSystemUIFont"/>
          <w:sz w:val="24"/>
          <w:szCs w:val="24"/>
        </w:rPr>
      </w:pPr>
      <w:r w:rsidRPr="006E3C6D">
        <w:rPr>
          <w:rFonts w:ascii="Times" w:hAnsi="Times" w:cs="AppleSystemUIFont"/>
          <w:sz w:val="24"/>
          <w:szCs w:val="24"/>
        </w:rPr>
        <w:t xml:space="preserve">Cuando tu maestra explica los trabajos o tareas </w:t>
      </w:r>
    </w:p>
    <w:p w14:paraId="1651C921" w14:textId="7777777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 xml:space="preserve">¿Entiendes lo que tienes qué hacer? </w:t>
      </w:r>
    </w:p>
    <w:p w14:paraId="64D779A8" w14:textId="5A9DC11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¿Te gusta más como te explicaba tu maestra en la escuela o por medio de las clases virtuales?</w:t>
      </w:r>
    </w:p>
    <w:p w14:paraId="2799C69C" w14:textId="7777777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 xml:space="preserve">¿Cuáles son las actividades que más disfrutas hacer en clases? </w:t>
      </w:r>
    </w:p>
    <w:p w14:paraId="710581D8" w14:textId="51650897" w:rsid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¿Te gusta participar cuándo hacen preguntas?</w:t>
      </w:r>
    </w:p>
    <w:p w14:paraId="45A0C8DE" w14:textId="00AAE129" w:rsidR="006E3C6D" w:rsidRPr="006E3C6D" w:rsidRDefault="006E3C6D" w:rsidP="006E3C6D">
      <w:pPr>
        <w:rPr>
          <w:rFonts w:ascii="Times" w:hAnsi="Times" w:cs="AppleSystemUIFont"/>
          <w:sz w:val="24"/>
          <w:szCs w:val="24"/>
        </w:rPr>
      </w:pPr>
    </w:p>
    <w:sectPr w:rsidR="006E3C6D" w:rsidRPr="006E3C6D" w:rsidSect="00D32C3B">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FAF"/>
    <w:multiLevelType w:val="multilevel"/>
    <w:tmpl w:val="E96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C509D"/>
    <w:multiLevelType w:val="multilevel"/>
    <w:tmpl w:val="D2FE0C2C"/>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A45722"/>
    <w:multiLevelType w:val="hybridMultilevel"/>
    <w:tmpl w:val="F22AEA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42CF6"/>
    <w:multiLevelType w:val="hybridMultilevel"/>
    <w:tmpl w:val="50289C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A4A52"/>
    <w:multiLevelType w:val="multilevel"/>
    <w:tmpl w:val="CF6C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C063D"/>
    <w:multiLevelType w:val="multilevel"/>
    <w:tmpl w:val="E2E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2296A"/>
    <w:multiLevelType w:val="hybridMultilevel"/>
    <w:tmpl w:val="EAB0E6CC"/>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A6FB7"/>
    <w:multiLevelType w:val="multilevel"/>
    <w:tmpl w:val="01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F4834"/>
    <w:multiLevelType w:val="hybridMultilevel"/>
    <w:tmpl w:val="802CAC20"/>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AD45EC"/>
    <w:multiLevelType w:val="multilevel"/>
    <w:tmpl w:val="6978A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FE1E94"/>
    <w:multiLevelType w:val="multilevel"/>
    <w:tmpl w:val="AB6A6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81B5DEF"/>
    <w:multiLevelType w:val="hybridMultilevel"/>
    <w:tmpl w:val="D52C8938"/>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E73FF3"/>
    <w:multiLevelType w:val="hybridMultilevel"/>
    <w:tmpl w:val="31329A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8935E5"/>
    <w:multiLevelType w:val="multilevel"/>
    <w:tmpl w:val="A9361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15F3B82"/>
    <w:multiLevelType w:val="hybridMultilevel"/>
    <w:tmpl w:val="3FB0A88A"/>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1D1FC8"/>
    <w:multiLevelType w:val="multilevel"/>
    <w:tmpl w:val="ED6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B4C84"/>
    <w:multiLevelType w:val="multilevel"/>
    <w:tmpl w:val="96D27D7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313D23"/>
    <w:multiLevelType w:val="hybridMultilevel"/>
    <w:tmpl w:val="2FD0A0EE"/>
    <w:lvl w:ilvl="0" w:tplc="337C710A">
      <w:start w:val="1"/>
      <w:numFmt w:val="bullet"/>
      <w:lvlText w:val=""/>
      <w:lvlJc w:val="left"/>
      <w:pPr>
        <w:ind w:left="1440" w:hanging="360"/>
      </w:pPr>
      <w:rPr>
        <w:rFonts w:ascii="Symbol" w:hAnsi="Symbol" w:hint="default"/>
        <w:color w:val="auto"/>
        <w:sz w:val="22"/>
        <w:szCs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5"/>
  </w:num>
  <w:num w:numId="4">
    <w:abstractNumId w:val="17"/>
  </w:num>
  <w:num w:numId="5">
    <w:abstractNumId w:val="7"/>
  </w:num>
  <w:num w:numId="6">
    <w:abstractNumId w:val="9"/>
  </w:num>
  <w:num w:numId="7">
    <w:abstractNumId w:val="4"/>
  </w:num>
  <w:num w:numId="8">
    <w:abstractNumId w:val="10"/>
  </w:num>
  <w:num w:numId="9">
    <w:abstractNumId w:val="15"/>
  </w:num>
  <w:num w:numId="10">
    <w:abstractNumId w:val="13"/>
  </w:num>
  <w:num w:numId="11">
    <w:abstractNumId w:val="14"/>
  </w:num>
  <w:num w:numId="12">
    <w:abstractNumId w:val="3"/>
  </w:num>
  <w:num w:numId="13">
    <w:abstractNumId w:val="12"/>
  </w:num>
  <w:num w:numId="14">
    <w:abstractNumId w:val="11"/>
  </w:num>
  <w:num w:numId="15">
    <w:abstractNumId w:val="2"/>
  </w:num>
  <w:num w:numId="16">
    <w:abstractNumId w:val="8"/>
  </w:num>
  <w:num w:numId="17">
    <w:abstractNumId w:val="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D2"/>
    <w:rsid w:val="004067BC"/>
    <w:rsid w:val="006E3C6D"/>
    <w:rsid w:val="00862B59"/>
    <w:rsid w:val="00B204B5"/>
    <w:rsid w:val="00BB74D2"/>
    <w:rsid w:val="00D32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6E8"/>
  <w15:chartTrackingRefBased/>
  <w15:docId w15:val="{1A552488-86FA-436C-BF92-1A0E244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4B5"/>
    <w:pPr>
      <w:widowControl w:val="0"/>
      <w:autoSpaceDE w:val="0"/>
      <w:autoSpaceDN w:val="0"/>
      <w:spacing w:after="0" w:line="240" w:lineRule="auto"/>
      <w:ind w:left="720"/>
      <w:contextualSpacing/>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2051</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Lorena Fernanda Olivo Maldonado</cp:lastModifiedBy>
  <cp:revision>4</cp:revision>
  <dcterms:created xsi:type="dcterms:W3CDTF">2021-04-26T04:17:00Z</dcterms:created>
  <dcterms:modified xsi:type="dcterms:W3CDTF">2021-04-26T04:21:00Z</dcterms:modified>
</cp:coreProperties>
</file>