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5533D" w14:textId="77777777" w:rsidR="000C56F7" w:rsidRDefault="000C56F7" w:rsidP="000C56F7">
      <w:pPr>
        <w:jc w:val="center"/>
        <w:rPr>
          <w:rFonts w:ascii="Times New Roman" w:hAnsi="Times New Roman" w:cs="Times New Roman"/>
          <w:b/>
          <w:sz w:val="28"/>
          <w:szCs w:val="44"/>
        </w:rPr>
      </w:pPr>
      <w:r>
        <w:rPr>
          <w:rFonts w:ascii="Times New Roman" w:hAnsi="Times New Roman" w:cs="Times New Roman"/>
          <w:b/>
          <w:sz w:val="28"/>
          <w:szCs w:val="44"/>
        </w:rPr>
        <w:t>ESCUELA NORMAL DE EDUCACION PREESCOLAR DEL ESTADO DE COAHUILA</w:t>
      </w:r>
    </w:p>
    <w:p w14:paraId="6DC72406" w14:textId="77777777" w:rsidR="000C56F7" w:rsidRDefault="000C56F7" w:rsidP="000C56F7">
      <w:pPr>
        <w:jc w:val="center"/>
        <w:rPr>
          <w:rFonts w:ascii="Times New Roman" w:hAnsi="Times New Roman" w:cs="Times New Roman"/>
          <w:b/>
        </w:rPr>
      </w:pPr>
      <w:r>
        <w:rPr>
          <w:noProof/>
          <w:lang w:eastAsia="es-MX"/>
        </w:rPr>
        <w:drawing>
          <wp:anchor distT="0" distB="0" distL="114300" distR="114300" simplePos="0" relativeHeight="251659264" behindDoc="0" locked="0" layoutInCell="1" allowOverlap="1" wp14:anchorId="7D5B828C" wp14:editId="3AAC3FB4">
            <wp:simplePos x="0" y="0"/>
            <wp:positionH relativeFrom="margin">
              <wp:align>center</wp:align>
            </wp:positionH>
            <wp:positionV relativeFrom="paragraph">
              <wp:posOffset>17780</wp:posOffset>
            </wp:positionV>
            <wp:extent cx="910590" cy="1117600"/>
            <wp:effectExtent l="0" t="0" r="0" b="6350"/>
            <wp:wrapSquare wrapText="bothSides"/>
            <wp:docPr id="7" name="Imagen 7"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27/_Actividad/_has/00000000/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0590" cy="1117600"/>
                    </a:xfrm>
                    <a:prstGeom prst="rect">
                      <a:avLst/>
                    </a:prstGeom>
                    <a:noFill/>
                  </pic:spPr>
                </pic:pic>
              </a:graphicData>
            </a:graphic>
            <wp14:sizeRelH relativeFrom="margin">
              <wp14:pctWidth>0</wp14:pctWidth>
            </wp14:sizeRelH>
            <wp14:sizeRelV relativeFrom="margin">
              <wp14:pctHeight>0</wp14:pctHeight>
            </wp14:sizeRelV>
          </wp:anchor>
        </w:drawing>
      </w:r>
    </w:p>
    <w:p w14:paraId="0BBDE45B" w14:textId="77777777" w:rsidR="000C56F7" w:rsidRDefault="000C56F7" w:rsidP="000C56F7">
      <w:pPr>
        <w:jc w:val="center"/>
        <w:rPr>
          <w:rFonts w:ascii="Times New Roman" w:hAnsi="Times New Roman" w:cs="Times New Roman"/>
          <w:b/>
        </w:rPr>
      </w:pPr>
    </w:p>
    <w:p w14:paraId="0EEE3960" w14:textId="77777777" w:rsidR="000C56F7" w:rsidRDefault="000C56F7" w:rsidP="000C56F7">
      <w:pPr>
        <w:jc w:val="center"/>
        <w:rPr>
          <w:rFonts w:ascii="Times New Roman" w:hAnsi="Times New Roman" w:cs="Times New Roman"/>
          <w:b/>
        </w:rPr>
      </w:pPr>
    </w:p>
    <w:p w14:paraId="641BC1D5" w14:textId="77777777" w:rsidR="000C56F7" w:rsidRDefault="000C56F7" w:rsidP="000C56F7">
      <w:pPr>
        <w:rPr>
          <w:rFonts w:ascii="Times New Roman" w:hAnsi="Times New Roman" w:cs="Times New Roman"/>
          <w:b/>
          <w:sz w:val="36"/>
          <w:szCs w:val="36"/>
        </w:rPr>
      </w:pPr>
    </w:p>
    <w:p w14:paraId="17E7FDCB" w14:textId="77777777" w:rsidR="000C56F7" w:rsidRDefault="000C56F7" w:rsidP="000C56F7">
      <w:pPr>
        <w:jc w:val="center"/>
        <w:rPr>
          <w:rFonts w:ascii="Times New Roman" w:hAnsi="Times New Roman" w:cs="Times New Roman"/>
          <w:b/>
          <w:sz w:val="28"/>
          <w:szCs w:val="24"/>
        </w:rPr>
      </w:pPr>
      <w:r>
        <w:rPr>
          <w:rFonts w:ascii="Times New Roman" w:hAnsi="Times New Roman" w:cs="Times New Roman"/>
          <w:b/>
          <w:sz w:val="28"/>
          <w:szCs w:val="24"/>
        </w:rPr>
        <w:t>LICENCIATURA EN EDUCACION PREESCOLAR</w:t>
      </w:r>
    </w:p>
    <w:p w14:paraId="3A00206D" w14:textId="77777777" w:rsidR="000C56F7" w:rsidRDefault="000C56F7" w:rsidP="000C56F7">
      <w:pPr>
        <w:jc w:val="center"/>
        <w:rPr>
          <w:rFonts w:ascii="Times New Roman" w:hAnsi="Times New Roman" w:cs="Times New Roman"/>
          <w:b/>
          <w:sz w:val="28"/>
          <w:szCs w:val="24"/>
        </w:rPr>
      </w:pPr>
      <w:r>
        <w:rPr>
          <w:rFonts w:ascii="Times New Roman" w:hAnsi="Times New Roman" w:cs="Times New Roman"/>
          <w:b/>
          <w:sz w:val="28"/>
          <w:szCs w:val="24"/>
        </w:rPr>
        <w:t>CICLO ESCOLAR 2020 – 2021</w:t>
      </w:r>
    </w:p>
    <w:p w14:paraId="31E8BA9C" w14:textId="77777777" w:rsidR="000C56F7" w:rsidRDefault="000C56F7" w:rsidP="000C56F7">
      <w:pPr>
        <w:jc w:val="center"/>
        <w:rPr>
          <w:rFonts w:ascii="Times New Roman" w:hAnsi="Times New Roman" w:cs="Times New Roman"/>
          <w:b/>
          <w:sz w:val="28"/>
          <w:szCs w:val="24"/>
        </w:rPr>
      </w:pPr>
      <w:r>
        <w:rPr>
          <w:rFonts w:ascii="Times New Roman" w:hAnsi="Times New Roman" w:cs="Times New Roman"/>
          <w:b/>
          <w:sz w:val="28"/>
          <w:szCs w:val="24"/>
        </w:rPr>
        <w:t>Optativa</w:t>
      </w: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0C56F7" w14:paraId="1ADE1E36" w14:textId="77777777" w:rsidTr="000C56F7">
        <w:trPr>
          <w:tblCellSpacing w:w="0" w:type="dxa"/>
          <w:jc w:val="center"/>
        </w:trPr>
        <w:tc>
          <w:tcPr>
            <w:tcW w:w="0" w:type="auto"/>
            <w:vAlign w:val="center"/>
            <w:hideMark/>
          </w:tcPr>
          <w:p w14:paraId="484BB150" w14:textId="77777777" w:rsidR="000C56F7" w:rsidRPr="000C56F7" w:rsidRDefault="000C56F7" w:rsidP="000C56F7">
            <w:pPr>
              <w:ind w:left="60"/>
              <w:jc w:val="center"/>
              <w:rPr>
                <w:rFonts w:ascii="Times New Roman" w:hAnsi="Times New Roman" w:cs="Times New Roman"/>
                <w:b/>
                <w:color w:val="000000"/>
                <w:sz w:val="24"/>
                <w:szCs w:val="24"/>
              </w:rPr>
            </w:pPr>
            <w:r w:rsidRPr="000C56F7">
              <w:rPr>
                <w:rFonts w:ascii="Times New Roman" w:hAnsi="Times New Roman" w:cs="Times New Roman"/>
                <w:b/>
                <w:iCs/>
                <w:color w:val="000000"/>
                <w:sz w:val="28"/>
                <w:szCs w:val="32"/>
              </w:rPr>
              <w:t>La educación para el mantenimiento de las estructuras o para el cambio social</w:t>
            </w:r>
          </w:p>
        </w:tc>
      </w:tr>
      <w:tr w:rsidR="000C56F7" w14:paraId="7E31D88D" w14:textId="77777777" w:rsidTr="000C56F7">
        <w:trPr>
          <w:tblCellSpacing w:w="0" w:type="dxa"/>
          <w:jc w:val="center"/>
        </w:trPr>
        <w:tc>
          <w:tcPr>
            <w:tcW w:w="0" w:type="auto"/>
            <w:vAlign w:val="center"/>
            <w:hideMark/>
          </w:tcPr>
          <w:p w14:paraId="5639B06B" w14:textId="77777777" w:rsidR="000C56F7" w:rsidRPr="000C56F7" w:rsidRDefault="000C56F7" w:rsidP="000C56F7">
            <w:pPr>
              <w:ind w:left="60"/>
              <w:rPr>
                <w:rFonts w:ascii="Verdana" w:hAnsi="Verdana" w:cs="Times New Roman"/>
                <w:b/>
                <w:color w:val="000000"/>
                <w:sz w:val="24"/>
                <w:szCs w:val="24"/>
              </w:rPr>
            </w:pPr>
          </w:p>
        </w:tc>
      </w:tr>
      <w:tr w:rsidR="000C56F7" w14:paraId="10C19F3F" w14:textId="77777777" w:rsidTr="000C56F7">
        <w:trPr>
          <w:tblCellSpacing w:w="0" w:type="dxa"/>
          <w:jc w:val="center"/>
        </w:trPr>
        <w:tc>
          <w:tcPr>
            <w:tcW w:w="0" w:type="auto"/>
            <w:vAlign w:val="center"/>
            <w:hideMark/>
          </w:tcPr>
          <w:p w14:paraId="594D97B3" w14:textId="77777777" w:rsidR="000C56F7" w:rsidRPr="000C56F7" w:rsidRDefault="000C56F7" w:rsidP="000C56F7">
            <w:pPr>
              <w:ind w:left="60"/>
              <w:jc w:val="center"/>
              <w:rPr>
                <w:rFonts w:ascii="Verdana" w:hAnsi="Verdana" w:cs="Times New Roman"/>
                <w:b/>
                <w:color w:val="000000"/>
                <w:sz w:val="24"/>
                <w:szCs w:val="24"/>
              </w:rPr>
            </w:pPr>
          </w:p>
        </w:tc>
      </w:tr>
      <w:tr w:rsidR="000C56F7" w14:paraId="798A2E10" w14:textId="77777777" w:rsidTr="00570B5B">
        <w:trPr>
          <w:tblCellSpacing w:w="0" w:type="dxa"/>
          <w:jc w:val="center"/>
        </w:trPr>
        <w:tc>
          <w:tcPr>
            <w:tcW w:w="0" w:type="auto"/>
            <w:vAlign w:val="center"/>
            <w:hideMark/>
          </w:tcPr>
          <w:p w14:paraId="6F06F8F8" w14:textId="77777777" w:rsidR="000C56F7" w:rsidRDefault="000C56F7" w:rsidP="00570B5B">
            <w:pPr>
              <w:ind w:left="60"/>
              <w:jc w:val="both"/>
              <w:rPr>
                <w:rFonts w:ascii="Verdana" w:hAnsi="Verdana" w:cs="Times New Roman"/>
                <w:color w:val="000000"/>
                <w:sz w:val="24"/>
                <w:szCs w:val="24"/>
              </w:rPr>
            </w:pPr>
          </w:p>
        </w:tc>
      </w:tr>
    </w:tbl>
    <w:p w14:paraId="45161246" w14:textId="77777777" w:rsidR="000C56F7" w:rsidRPr="003E0DEE" w:rsidRDefault="000C56F7" w:rsidP="000C56F7">
      <w:pPr>
        <w:pStyle w:val="Ttulo3"/>
        <w:spacing w:before="30" w:beforeAutospacing="0" w:after="30" w:afterAutospacing="0"/>
        <w:ind w:left="60"/>
        <w:jc w:val="center"/>
        <w:rPr>
          <w:rFonts w:ascii="Arial" w:hAnsi="Arial" w:cs="Arial"/>
          <w:color w:val="000000"/>
          <w:sz w:val="26"/>
          <w:szCs w:val="26"/>
        </w:rPr>
      </w:pPr>
      <w:r w:rsidRPr="000C56F7">
        <w:rPr>
          <w:bCs w:val="0"/>
          <w:color w:val="000000"/>
          <w:sz w:val="28"/>
          <w:szCs w:val="24"/>
        </w:rPr>
        <w:t>Profesor</w:t>
      </w:r>
      <w:r w:rsidRPr="000C56F7">
        <w:rPr>
          <w:bCs w:val="0"/>
          <w:color w:val="000000"/>
          <w:sz w:val="28"/>
          <w:szCs w:val="28"/>
        </w:rPr>
        <w:t>:</w:t>
      </w:r>
      <w:r w:rsidRPr="003E0DEE">
        <w:rPr>
          <w:b w:val="0"/>
          <w:bCs w:val="0"/>
          <w:color w:val="000000"/>
          <w:sz w:val="28"/>
          <w:szCs w:val="28"/>
        </w:rPr>
        <w:t xml:space="preserve"> </w:t>
      </w:r>
      <w:hyperlink r:id="rId6" w:history="1">
        <w:r w:rsidRPr="003E0DEE">
          <w:rPr>
            <w:rFonts w:eastAsiaTheme="majorEastAsia"/>
            <w:b w:val="0"/>
            <w:color w:val="000000"/>
            <w:sz w:val="28"/>
            <w:szCs w:val="28"/>
          </w:rPr>
          <w:t>D</w:t>
        </w:r>
        <w:r w:rsidRPr="003E0DEE">
          <w:rPr>
            <w:b w:val="0"/>
            <w:color w:val="000000"/>
            <w:sz w:val="28"/>
            <w:szCs w:val="28"/>
          </w:rPr>
          <w:t>aniel</w:t>
        </w:r>
        <w:r w:rsidRPr="003E0DEE">
          <w:rPr>
            <w:rFonts w:eastAsiaTheme="majorEastAsia"/>
            <w:b w:val="0"/>
            <w:color w:val="000000"/>
            <w:sz w:val="28"/>
            <w:szCs w:val="28"/>
          </w:rPr>
          <w:t xml:space="preserve"> </w:t>
        </w:r>
        <w:r w:rsidRPr="003E0DEE">
          <w:rPr>
            <w:b w:val="0"/>
            <w:color w:val="000000"/>
            <w:sz w:val="28"/>
            <w:szCs w:val="28"/>
          </w:rPr>
          <w:t>Díaz Gutiérrez</w:t>
        </w:r>
      </w:hyperlink>
    </w:p>
    <w:p w14:paraId="7AC7E802" w14:textId="77777777" w:rsidR="000C56F7" w:rsidRDefault="000C56F7" w:rsidP="000C56F7">
      <w:pPr>
        <w:jc w:val="center"/>
        <w:rPr>
          <w:rFonts w:ascii="Times New Roman" w:hAnsi="Times New Roman" w:cs="Times New Roman"/>
          <w:sz w:val="28"/>
          <w:szCs w:val="24"/>
        </w:rPr>
      </w:pPr>
      <w:r>
        <w:rPr>
          <w:rFonts w:ascii="Times New Roman" w:hAnsi="Times New Roman" w:cs="Times New Roman"/>
          <w:b/>
          <w:sz w:val="28"/>
          <w:szCs w:val="24"/>
        </w:rPr>
        <w:t>Alumnas</w:t>
      </w:r>
      <w:r>
        <w:rPr>
          <w:rFonts w:ascii="Times New Roman" w:hAnsi="Times New Roman" w:cs="Times New Roman"/>
          <w:sz w:val="28"/>
          <w:szCs w:val="24"/>
        </w:rPr>
        <w:t xml:space="preserve">: </w:t>
      </w:r>
    </w:p>
    <w:p w14:paraId="621C9A19" w14:textId="77777777" w:rsidR="000C56F7" w:rsidRDefault="000C56F7" w:rsidP="000C56F7">
      <w:pPr>
        <w:jc w:val="center"/>
        <w:rPr>
          <w:rFonts w:ascii="Times New Roman" w:hAnsi="Times New Roman" w:cs="Times New Roman"/>
          <w:sz w:val="28"/>
          <w:szCs w:val="24"/>
        </w:rPr>
      </w:pPr>
      <w:r>
        <w:rPr>
          <w:rFonts w:ascii="Times New Roman" w:hAnsi="Times New Roman" w:cs="Times New Roman"/>
          <w:sz w:val="28"/>
          <w:szCs w:val="24"/>
        </w:rPr>
        <w:t>Karla Nayeli Agüero Cruz N.L. 1</w:t>
      </w:r>
    </w:p>
    <w:p w14:paraId="7E509735" w14:textId="77777777" w:rsidR="000C56F7" w:rsidRDefault="000C56F7" w:rsidP="000C56F7">
      <w:pPr>
        <w:jc w:val="center"/>
        <w:rPr>
          <w:rFonts w:ascii="Times New Roman" w:hAnsi="Times New Roman" w:cs="Times New Roman"/>
          <w:sz w:val="28"/>
          <w:szCs w:val="24"/>
        </w:rPr>
      </w:pPr>
      <w:r>
        <w:rPr>
          <w:rFonts w:ascii="Times New Roman" w:hAnsi="Times New Roman" w:cs="Times New Roman"/>
          <w:sz w:val="28"/>
          <w:szCs w:val="24"/>
        </w:rPr>
        <w:tab/>
        <w:t>Fátima Cecilia Alonso Alvarado N.L 2</w:t>
      </w:r>
    </w:p>
    <w:p w14:paraId="74C5BC32" w14:textId="77777777" w:rsidR="000C56F7" w:rsidRDefault="000C56F7" w:rsidP="000C56F7">
      <w:pPr>
        <w:jc w:val="center"/>
        <w:rPr>
          <w:rFonts w:ascii="Times New Roman" w:hAnsi="Times New Roman" w:cs="Times New Roman"/>
          <w:sz w:val="28"/>
          <w:szCs w:val="24"/>
        </w:rPr>
      </w:pPr>
      <w:r>
        <w:rPr>
          <w:rFonts w:ascii="Times New Roman" w:hAnsi="Times New Roman" w:cs="Times New Roman"/>
          <w:sz w:val="28"/>
          <w:szCs w:val="24"/>
        </w:rPr>
        <w:t>Claudia Paola Gonzales Sánchez N.L. 10</w:t>
      </w:r>
    </w:p>
    <w:p w14:paraId="60D1B263" w14:textId="77777777" w:rsidR="000C56F7" w:rsidRDefault="000C56F7" w:rsidP="000C56F7">
      <w:pPr>
        <w:jc w:val="center"/>
        <w:rPr>
          <w:rFonts w:ascii="Times New Roman" w:hAnsi="Times New Roman" w:cs="Times New Roman"/>
          <w:sz w:val="28"/>
          <w:szCs w:val="24"/>
        </w:rPr>
      </w:pPr>
      <w:r>
        <w:rPr>
          <w:rFonts w:ascii="Times New Roman" w:hAnsi="Times New Roman" w:cs="Times New Roman"/>
          <w:sz w:val="28"/>
          <w:szCs w:val="24"/>
        </w:rPr>
        <w:t>Alma Cristina Olvera Rodríguez NL.18</w:t>
      </w:r>
    </w:p>
    <w:p w14:paraId="67B57347" w14:textId="77777777" w:rsidR="000C56F7" w:rsidRDefault="000C56F7" w:rsidP="000C56F7">
      <w:pPr>
        <w:jc w:val="center"/>
        <w:rPr>
          <w:rFonts w:ascii="Times New Roman" w:hAnsi="Times New Roman" w:cs="Times New Roman"/>
          <w:sz w:val="28"/>
          <w:szCs w:val="24"/>
        </w:rPr>
      </w:pPr>
      <w:r>
        <w:rPr>
          <w:rFonts w:ascii="Times New Roman" w:hAnsi="Times New Roman" w:cs="Times New Roman"/>
          <w:sz w:val="28"/>
          <w:szCs w:val="24"/>
        </w:rPr>
        <w:t>Cuarto semestre sección “A”</w:t>
      </w:r>
    </w:p>
    <w:p w14:paraId="3714598A" w14:textId="77777777" w:rsidR="000C56F7" w:rsidRDefault="000C56F7" w:rsidP="000C56F7">
      <w:pPr>
        <w:rPr>
          <w:rFonts w:ascii="Times New Roman" w:hAnsi="Times New Roman" w:cs="Times New Roman"/>
          <w:sz w:val="28"/>
          <w:szCs w:val="24"/>
        </w:rPr>
      </w:pPr>
      <w:r>
        <w:rPr>
          <w:rFonts w:ascii="Times New Roman" w:eastAsia="Times New Roman" w:hAnsi="Times New Roman" w:cs="Times New Roman"/>
          <w:b/>
          <w:color w:val="000000"/>
          <w:sz w:val="28"/>
          <w:szCs w:val="24"/>
          <w:lang w:eastAsia="es-MX"/>
        </w:rPr>
        <w:t>UNIDAD DE APRENDIZAJE I</w:t>
      </w:r>
      <w:r>
        <w:rPr>
          <w:rFonts w:ascii="Times New Roman" w:eastAsia="Times New Roman" w:hAnsi="Times New Roman" w:cs="Times New Roman"/>
          <w:color w:val="000000"/>
          <w:sz w:val="28"/>
          <w:szCs w:val="24"/>
          <w:lang w:eastAsia="es-MX"/>
        </w:rPr>
        <w:t xml:space="preserve">. </w:t>
      </w:r>
      <w:r w:rsidRPr="003E0DEE">
        <w:rPr>
          <w:rFonts w:ascii="Verdana" w:eastAsia="Times New Roman" w:hAnsi="Verdana" w:cs="Times New Roman"/>
          <w:color w:val="000000"/>
          <w:sz w:val="24"/>
          <w:szCs w:val="24"/>
          <w:lang w:eastAsia="es-MX"/>
        </w:rPr>
        <w:t>INTRODUCCIÓN Y CONCEPTOS BÁSICOS DE FILOSOFÍA DE LA EDUCACIÓN.</w:t>
      </w:r>
    </w:p>
    <w:p w14:paraId="22BBC872" w14:textId="77777777" w:rsidR="000C56F7" w:rsidRDefault="000C56F7" w:rsidP="000C56F7">
      <w:pPr>
        <w:rPr>
          <w:rFonts w:ascii="Times New Roman" w:hAnsi="Times New Roman" w:cs="Times New Roman"/>
          <w:b/>
          <w:sz w:val="28"/>
          <w:szCs w:val="24"/>
        </w:rPr>
      </w:pPr>
      <w:r>
        <w:rPr>
          <w:rFonts w:ascii="Times New Roman" w:hAnsi="Times New Roman" w:cs="Times New Roman"/>
          <w:b/>
          <w:sz w:val="28"/>
          <w:szCs w:val="24"/>
        </w:rPr>
        <w:t>Competencias:</w:t>
      </w: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8483"/>
      </w:tblGrid>
      <w:tr w:rsidR="000C56F7" w:rsidRPr="003E0DEE" w14:paraId="0E083CE9" w14:textId="77777777" w:rsidTr="00570B5B">
        <w:trPr>
          <w:tblCellSpacing w:w="15" w:type="dxa"/>
        </w:trPr>
        <w:tc>
          <w:tcPr>
            <w:tcW w:w="0" w:type="auto"/>
            <w:hideMark/>
          </w:tcPr>
          <w:p w14:paraId="19057191" w14:textId="77777777" w:rsidR="000C56F7" w:rsidRPr="003E0DEE" w:rsidRDefault="000C56F7" w:rsidP="00570B5B">
            <w:pPr>
              <w:spacing w:after="0" w:line="240" w:lineRule="auto"/>
              <w:ind w:left="60"/>
              <w:jc w:val="both"/>
              <w:rPr>
                <w:rFonts w:ascii="Verdana" w:eastAsia="Times New Roman" w:hAnsi="Verdana" w:cs="Times New Roman"/>
                <w:color w:val="000000"/>
                <w:sz w:val="24"/>
                <w:szCs w:val="24"/>
                <w:lang w:eastAsia="es-MX"/>
              </w:rPr>
            </w:pPr>
            <w:r w:rsidRPr="003E0DEE">
              <w:rPr>
                <w:rFonts w:ascii="Verdana" w:eastAsia="Times New Roman" w:hAnsi="Verdana" w:cs="Times New Roman"/>
                <w:noProof/>
                <w:color w:val="000000"/>
                <w:sz w:val="24"/>
                <w:szCs w:val="24"/>
                <w:lang w:eastAsia="es-MX"/>
              </w:rPr>
              <w:drawing>
                <wp:inline distT="0" distB="0" distL="0" distR="0" wp14:anchorId="7D14A631" wp14:editId="1C38A2C9">
                  <wp:extent cx="101600" cy="101600"/>
                  <wp:effectExtent l="0" t="0" r="0" b="0"/>
                  <wp:docPr id="8" name="Imagen 8"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00E28B57" w14:textId="77777777" w:rsidR="000C56F7" w:rsidRPr="003E0DEE" w:rsidRDefault="000C56F7" w:rsidP="00570B5B">
            <w:pPr>
              <w:spacing w:after="0" w:line="240" w:lineRule="auto"/>
              <w:ind w:left="60"/>
              <w:rPr>
                <w:rFonts w:ascii="Verdana" w:eastAsia="Times New Roman" w:hAnsi="Verdana" w:cs="Times New Roman"/>
                <w:color w:val="000000"/>
                <w:sz w:val="24"/>
                <w:szCs w:val="24"/>
                <w:lang w:eastAsia="es-MX"/>
              </w:rPr>
            </w:pPr>
            <w:r w:rsidRPr="003E0DEE">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6D1561E0" w14:textId="77777777" w:rsidR="000C56F7" w:rsidRPr="003E0DEE" w:rsidRDefault="000C56F7" w:rsidP="000C56F7">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8483"/>
      </w:tblGrid>
      <w:tr w:rsidR="000C56F7" w:rsidRPr="003E0DEE" w14:paraId="527CFE0D" w14:textId="77777777" w:rsidTr="00570B5B">
        <w:trPr>
          <w:tblCellSpacing w:w="15" w:type="dxa"/>
        </w:trPr>
        <w:tc>
          <w:tcPr>
            <w:tcW w:w="0" w:type="auto"/>
            <w:hideMark/>
          </w:tcPr>
          <w:p w14:paraId="6858D2A9" w14:textId="77777777" w:rsidR="000C56F7" w:rsidRPr="003E0DEE" w:rsidRDefault="000C56F7" w:rsidP="00570B5B">
            <w:pPr>
              <w:spacing w:after="0" w:line="240" w:lineRule="auto"/>
              <w:ind w:left="60"/>
              <w:jc w:val="both"/>
              <w:rPr>
                <w:rFonts w:ascii="Verdana" w:eastAsia="Times New Roman" w:hAnsi="Verdana" w:cs="Times New Roman"/>
                <w:color w:val="000000"/>
                <w:sz w:val="24"/>
                <w:szCs w:val="24"/>
                <w:lang w:eastAsia="es-MX"/>
              </w:rPr>
            </w:pPr>
            <w:r w:rsidRPr="003E0DEE">
              <w:rPr>
                <w:rFonts w:ascii="Verdana" w:eastAsia="Times New Roman" w:hAnsi="Verdana" w:cs="Times New Roman"/>
                <w:noProof/>
                <w:color w:val="000000"/>
                <w:sz w:val="24"/>
                <w:szCs w:val="24"/>
                <w:lang w:eastAsia="es-MX"/>
              </w:rPr>
              <w:drawing>
                <wp:inline distT="0" distB="0" distL="0" distR="0" wp14:anchorId="43C9AB99" wp14:editId="2AC8D75D">
                  <wp:extent cx="101600" cy="101600"/>
                  <wp:effectExtent l="0" t="0" r="0" b="0"/>
                  <wp:docPr id="9" name="Imagen 9"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32967E6E" w14:textId="77777777" w:rsidR="000C56F7" w:rsidRPr="003E0DEE" w:rsidRDefault="000C56F7" w:rsidP="00570B5B">
            <w:pPr>
              <w:spacing w:after="0" w:line="240" w:lineRule="auto"/>
              <w:ind w:left="60"/>
              <w:rPr>
                <w:rFonts w:ascii="Verdana" w:eastAsia="Times New Roman" w:hAnsi="Verdana" w:cs="Times New Roman"/>
                <w:color w:val="000000"/>
                <w:sz w:val="24"/>
                <w:szCs w:val="24"/>
                <w:lang w:eastAsia="es-MX"/>
              </w:rPr>
            </w:pPr>
            <w:r w:rsidRPr="003E0DEE">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202B2C7D" w14:textId="77777777" w:rsidR="000C56F7" w:rsidRDefault="000C56F7" w:rsidP="000C56F7">
      <w:pPr>
        <w:rPr>
          <w:rFonts w:ascii="Times New Roman" w:hAnsi="Times New Roman" w:cs="Times New Roman"/>
          <w:b/>
          <w:sz w:val="28"/>
          <w:szCs w:val="24"/>
        </w:rPr>
      </w:pPr>
    </w:p>
    <w:p w14:paraId="3356833D" w14:textId="77777777" w:rsidR="000C56F7" w:rsidRPr="003E0DEE" w:rsidRDefault="000C56F7" w:rsidP="000C56F7">
      <w:pPr>
        <w:rPr>
          <w:rFonts w:ascii="Times New Roman" w:hAnsi="Times New Roman" w:cs="Times New Roman"/>
          <w:b/>
          <w:sz w:val="28"/>
          <w:szCs w:val="24"/>
        </w:rPr>
      </w:pPr>
      <w:r>
        <w:rPr>
          <w:rFonts w:ascii="Times New Roman" w:hAnsi="Times New Roman" w:cs="Times New Roman"/>
          <w:sz w:val="28"/>
          <w:szCs w:val="24"/>
        </w:rPr>
        <w:br w:type="textWrapping" w:clear="all"/>
      </w:r>
      <w:r>
        <w:rPr>
          <w:rFonts w:ascii="Times New Roman" w:hAnsi="Times New Roman" w:cs="Times New Roman"/>
          <w:b/>
          <w:sz w:val="28"/>
          <w:szCs w:val="24"/>
        </w:rPr>
        <w:t>Saltillo, Coahuila                                                                        27/04/2021</w:t>
      </w:r>
    </w:p>
    <w:p w14:paraId="18F58E1C" w14:textId="77777777" w:rsidR="00DD2CB7" w:rsidRDefault="00DD2CB7"/>
    <w:p w14:paraId="1F597E92" w14:textId="77777777" w:rsidR="00B46603" w:rsidRDefault="00B46603" w:rsidP="00B46603">
      <w:pPr>
        <w:jc w:val="both"/>
        <w:rPr>
          <w:rFonts w:ascii="Times New Roman" w:hAnsi="Times New Roman" w:cs="Times New Roman"/>
          <w:b/>
          <w:iCs/>
          <w:color w:val="000000"/>
          <w:sz w:val="28"/>
          <w:szCs w:val="32"/>
        </w:rPr>
      </w:pPr>
      <w:r w:rsidRPr="00B46603">
        <w:rPr>
          <w:rFonts w:ascii="Times New Roman" w:hAnsi="Times New Roman" w:cs="Times New Roman"/>
          <w:b/>
          <w:iCs/>
          <w:color w:val="000000"/>
          <w:sz w:val="28"/>
          <w:szCs w:val="32"/>
        </w:rPr>
        <w:lastRenderedPageBreak/>
        <w:t>La educación para el mantenimiento de las estructuras o para el cambio social</w:t>
      </w:r>
      <w:r>
        <w:rPr>
          <w:rFonts w:ascii="Times New Roman" w:hAnsi="Times New Roman" w:cs="Times New Roman"/>
          <w:b/>
          <w:iCs/>
          <w:color w:val="000000"/>
          <w:sz w:val="28"/>
          <w:szCs w:val="32"/>
        </w:rPr>
        <w:t>.</w:t>
      </w:r>
    </w:p>
    <w:p w14:paraId="3A7E907A" w14:textId="77777777" w:rsidR="00987506" w:rsidRDefault="00987506" w:rsidP="00B46603">
      <w:pPr>
        <w:pStyle w:val="NormalWeb"/>
        <w:shd w:val="clear" w:color="auto" w:fill="FFFFFF"/>
        <w:spacing w:line="360" w:lineRule="auto"/>
        <w:jc w:val="both"/>
        <w:rPr>
          <w:color w:val="000000"/>
        </w:rPr>
      </w:pPr>
      <w:r>
        <w:rPr>
          <w:color w:val="000000"/>
        </w:rPr>
        <w:t xml:space="preserve">Dentro de la educación de las estructuras </w:t>
      </w:r>
      <w:proofErr w:type="spellStart"/>
      <w:r w:rsidR="00B46603" w:rsidRPr="00B46603">
        <w:rPr>
          <w:color w:val="000000"/>
        </w:rPr>
        <w:t>Macionis</w:t>
      </w:r>
      <w:proofErr w:type="spellEnd"/>
      <w:r w:rsidR="00B46603" w:rsidRPr="00B46603">
        <w:rPr>
          <w:color w:val="000000"/>
        </w:rPr>
        <w:t xml:space="preserve"> y </w:t>
      </w:r>
      <w:proofErr w:type="spellStart"/>
      <w:r w:rsidR="00B46603" w:rsidRPr="00B46603">
        <w:rPr>
          <w:color w:val="000000"/>
        </w:rPr>
        <w:t>Plumer</w:t>
      </w:r>
      <w:proofErr w:type="spellEnd"/>
      <w:r w:rsidR="00B46603" w:rsidRPr="00B46603">
        <w:rPr>
          <w:color w:val="000000"/>
        </w:rPr>
        <w:t xml:space="preserve"> (1991: 523)</w:t>
      </w:r>
      <w:r w:rsidR="00440823">
        <w:rPr>
          <w:color w:val="000000"/>
        </w:rPr>
        <w:t xml:space="preserve"> afirmaban que</w:t>
      </w:r>
      <w:r w:rsidR="00B46603" w:rsidRPr="00B46603">
        <w:rPr>
          <w:color w:val="000000"/>
        </w:rPr>
        <w:t xml:space="preserve"> de manera "premonitoria" en las últimas décadas del siglo XX, admitiendo que los problemas a los que se enfrenta la educación no son sino prolongaciones de los existentes en el conjunto de la sociedad, "no cabe duda de que la escuela del siglo XXI será distinta de la que hoy conocemos". </w:t>
      </w:r>
    </w:p>
    <w:p w14:paraId="47597BEF" w14:textId="47834A64" w:rsidR="00B46603" w:rsidRPr="00B46603" w:rsidRDefault="00987506" w:rsidP="00B46603">
      <w:pPr>
        <w:pStyle w:val="NormalWeb"/>
        <w:shd w:val="clear" w:color="auto" w:fill="FFFFFF"/>
        <w:spacing w:line="360" w:lineRule="auto"/>
        <w:jc w:val="both"/>
        <w:rPr>
          <w:color w:val="000000"/>
        </w:rPr>
      </w:pPr>
      <w:r>
        <w:rPr>
          <w:color w:val="000000"/>
        </w:rPr>
        <w:t>Nos</w:t>
      </w:r>
      <w:r w:rsidR="00B46603" w:rsidRPr="00B46603">
        <w:rPr>
          <w:color w:val="000000"/>
        </w:rPr>
        <w:t xml:space="preserve"> </w:t>
      </w:r>
      <w:r w:rsidRPr="00B46603">
        <w:rPr>
          <w:color w:val="000000"/>
        </w:rPr>
        <w:t>encontra</w:t>
      </w:r>
      <w:r>
        <w:rPr>
          <w:color w:val="000000"/>
        </w:rPr>
        <w:t>m</w:t>
      </w:r>
      <w:r w:rsidRPr="00B46603">
        <w:rPr>
          <w:color w:val="000000"/>
        </w:rPr>
        <w:t>os</w:t>
      </w:r>
      <w:r w:rsidR="00B46603" w:rsidRPr="00B46603">
        <w:rPr>
          <w:color w:val="000000"/>
        </w:rPr>
        <w:t xml:space="preserve"> en un nuevo escenario social que </w:t>
      </w:r>
      <w:r w:rsidRPr="00987506">
        <w:rPr>
          <w:color w:val="202124"/>
          <w:shd w:val="clear" w:color="auto" w:fill="FFFFFF"/>
        </w:rPr>
        <w:t>no puede dejar de ser o faltar</w:t>
      </w:r>
      <w:r w:rsidRPr="00987506">
        <w:rPr>
          <w:color w:val="000000"/>
        </w:rPr>
        <w:t xml:space="preserve"> </w:t>
      </w:r>
      <w:r w:rsidR="00B46603" w:rsidRPr="00987506">
        <w:rPr>
          <w:color w:val="000000"/>
        </w:rPr>
        <w:t>de</w:t>
      </w:r>
      <w:r w:rsidR="00B46603" w:rsidRPr="00B46603">
        <w:rPr>
          <w:color w:val="000000"/>
        </w:rPr>
        <w:t>be llevar consigo la aparición de un nuevo tipo de escuela capaz de abandonar sus antigu</w:t>
      </w:r>
      <w:r>
        <w:rPr>
          <w:color w:val="000000"/>
        </w:rPr>
        <w:t>a</w:t>
      </w:r>
      <w:r w:rsidR="00B46603" w:rsidRPr="00B46603">
        <w:rPr>
          <w:color w:val="000000"/>
        </w:rPr>
        <w:t xml:space="preserve">s </w:t>
      </w:r>
      <w:r>
        <w:rPr>
          <w:color w:val="000000"/>
        </w:rPr>
        <w:t xml:space="preserve">técnicas </w:t>
      </w:r>
      <w:r w:rsidRPr="00B46603">
        <w:rPr>
          <w:color w:val="000000"/>
        </w:rPr>
        <w:t>y</w:t>
      </w:r>
      <w:r w:rsidR="00B46603" w:rsidRPr="00B46603">
        <w:rPr>
          <w:color w:val="000000"/>
        </w:rPr>
        <w:t xml:space="preserve"> metodologías en </w:t>
      </w:r>
      <w:r>
        <w:rPr>
          <w:color w:val="000000"/>
        </w:rPr>
        <w:t xml:space="preserve">su </w:t>
      </w:r>
      <w:r w:rsidR="00B46603" w:rsidRPr="00B46603">
        <w:rPr>
          <w:color w:val="000000"/>
        </w:rPr>
        <w:t xml:space="preserve">adecuación a la realidad social donde se encuentra </w:t>
      </w:r>
      <w:r>
        <w:rPr>
          <w:color w:val="000000"/>
        </w:rPr>
        <w:t>toda la atención aquí</w:t>
      </w:r>
      <w:r w:rsidR="00B46603" w:rsidRPr="00B46603">
        <w:rPr>
          <w:color w:val="000000"/>
        </w:rPr>
        <w:t>.</w:t>
      </w:r>
    </w:p>
    <w:p w14:paraId="4EF451F2" w14:textId="7E0D5EBE" w:rsidR="00B46603" w:rsidRPr="00B46603" w:rsidRDefault="00B46603" w:rsidP="00B46603">
      <w:pPr>
        <w:pStyle w:val="NormalWeb"/>
        <w:shd w:val="clear" w:color="auto" w:fill="FFFFFF"/>
        <w:spacing w:line="360" w:lineRule="auto"/>
        <w:jc w:val="both"/>
        <w:rPr>
          <w:color w:val="000000"/>
        </w:rPr>
      </w:pPr>
      <w:r w:rsidRPr="00B46603">
        <w:rPr>
          <w:color w:val="000000"/>
        </w:rPr>
        <w:t>Se han presentado algunas pistas sobre cómo debe ser la escuela de la sociedad donde vivimos, una sociedad que</w:t>
      </w:r>
      <w:r w:rsidR="00987506">
        <w:rPr>
          <w:color w:val="000000"/>
        </w:rPr>
        <w:t xml:space="preserve"> </w:t>
      </w:r>
      <w:r w:rsidRPr="00B46603">
        <w:rPr>
          <w:color w:val="000000"/>
        </w:rPr>
        <w:t xml:space="preserve">expresaba </w:t>
      </w:r>
      <w:r w:rsidR="00987506" w:rsidRPr="00B46603">
        <w:rPr>
          <w:color w:val="000000"/>
        </w:rPr>
        <w:t>antes</w:t>
      </w:r>
      <w:r w:rsidRPr="00B46603">
        <w:rPr>
          <w:color w:val="000000"/>
        </w:rPr>
        <w:t xml:space="preserve"> se caracteriza por la transformación, por los vertiginosos procesos de cambio social que afectan al conjunto de nuestra experiencia vital; de ahí que </w:t>
      </w:r>
      <w:r w:rsidR="00987506">
        <w:rPr>
          <w:color w:val="000000"/>
        </w:rPr>
        <w:t xml:space="preserve">es </w:t>
      </w:r>
      <w:r w:rsidR="00987506" w:rsidRPr="00B46603">
        <w:rPr>
          <w:color w:val="000000"/>
        </w:rPr>
        <w:t>indispensable</w:t>
      </w:r>
      <w:r w:rsidRPr="00B46603">
        <w:rPr>
          <w:color w:val="000000"/>
        </w:rPr>
        <w:t xml:space="preserve"> la adaptación de la institución escolar a estas circunstancias. La escuela debe cambiar su forma de enseñar, de actuar y de relacionarse.</w:t>
      </w:r>
    </w:p>
    <w:p w14:paraId="0DF88DC1" w14:textId="253418F9" w:rsidR="00B46603" w:rsidRPr="00B46603" w:rsidRDefault="00B46603" w:rsidP="00B46603">
      <w:pPr>
        <w:pStyle w:val="NormalWeb"/>
        <w:shd w:val="clear" w:color="auto" w:fill="FFFFFF"/>
        <w:spacing w:line="360" w:lineRule="auto"/>
        <w:jc w:val="both"/>
        <w:rPr>
          <w:color w:val="000000"/>
        </w:rPr>
      </w:pPr>
      <w:r w:rsidRPr="00B46603">
        <w:rPr>
          <w:color w:val="000000"/>
        </w:rPr>
        <w:t>Frente a una escuela excluyente, es necesaria una nueva escuela inclusiva creada por y para todos y todas, con nuevos saberes, metodologías y formas de aprender, democrática en sus fines y medios y donde agentes educativos como el alumnado, hasta el momento poco considerado en los procesos de enseñanza-aprendizaje, vean cómo su voz es escuchada con la misma atención que la de otros sectores.</w:t>
      </w:r>
    </w:p>
    <w:p w14:paraId="1362DA9D" w14:textId="61F888AC" w:rsidR="00B46603" w:rsidRDefault="00B46603" w:rsidP="00B46603">
      <w:pPr>
        <w:pStyle w:val="NormalWeb"/>
        <w:shd w:val="clear" w:color="auto" w:fill="FFFFFF"/>
        <w:spacing w:line="360" w:lineRule="auto"/>
        <w:jc w:val="both"/>
        <w:rPr>
          <w:color w:val="000000"/>
        </w:rPr>
      </w:pPr>
      <w:r w:rsidRPr="00B46603">
        <w:rPr>
          <w:color w:val="000000"/>
        </w:rPr>
        <w:t>Esta nueva escuela tiene su reflejo en numerosos ejemplos que, con mayor o menor éxito, ejemplos que ponen sobre la mesa buenas prácticas educativas, que resaltan las oportunidades que brinda la educación y la necesidad de invertir y repensarla para construir un mundo mejor. Repensar la escuela se convierte de este modo en una exigencia para todos aquellos y aquellas inmersos en el mundo educativo, quienes, a pesar de las graves amenazas que se ciernen sobre ella, seguimos considerándola el mejor instrumento para conseguir sociedades cada vez más justas e igualitarias.</w:t>
      </w:r>
    </w:p>
    <w:p w14:paraId="52698709" w14:textId="77777777" w:rsidR="003F3E87" w:rsidRPr="003F3E87" w:rsidRDefault="003F3E87" w:rsidP="003F3E87">
      <w:pPr>
        <w:jc w:val="both"/>
        <w:rPr>
          <w:rFonts w:ascii="Arial" w:hAnsi="Arial" w:cs="Arial"/>
          <w:b/>
          <w:sz w:val="24"/>
        </w:rPr>
      </w:pPr>
      <w:r w:rsidRPr="003F3E87">
        <w:rPr>
          <w:rFonts w:ascii="Arial" w:hAnsi="Arial" w:cs="Arial"/>
          <w:b/>
          <w:sz w:val="24"/>
        </w:rPr>
        <w:lastRenderedPageBreak/>
        <w:t>¿Qué cambios pueden traer las estructuras educativas al individuo en su cultura?</w:t>
      </w:r>
    </w:p>
    <w:p w14:paraId="356E417B" w14:textId="77777777" w:rsidR="003F3E87" w:rsidRDefault="003F3E87" w:rsidP="003F3E87">
      <w:pPr>
        <w:pStyle w:val="NormalWeb"/>
        <w:shd w:val="clear" w:color="auto" w:fill="FFFFFF"/>
        <w:spacing w:line="360" w:lineRule="auto"/>
        <w:jc w:val="both"/>
        <w:rPr>
          <w:rFonts w:ascii="Arial" w:hAnsi="Arial" w:cs="Arial"/>
          <w:color w:val="000000"/>
          <w:szCs w:val="20"/>
        </w:rPr>
      </w:pPr>
      <w:r>
        <w:rPr>
          <w:rFonts w:ascii="Arial" w:hAnsi="Arial" w:cs="Arial"/>
          <w:color w:val="000000"/>
          <w:szCs w:val="20"/>
        </w:rPr>
        <w:t>La institución escolar y el aula misma son, de entrada, espacios de vida, donde, efectivamente, interrelacionan de forma permanente actores sociales, con historias y contextos de vida propios que se encuentran de momento sometidos a procesos de comunicación, conflicto, argumentación, negociación y consenso. En tal sentido, parece que una primera tarea de los profesores, más que enseñar, ha de ser el convencimiento propio y de los alumnos de la necesidad de aprender; es decir, acordar sobre el aprendizaje necesario. Al hacer de las interrelaciones personales cotidianas procesos enfocados primero al entendimiento y, sólo después, al conocimiento. La educación, pues, es un acontecer recíproco.</w:t>
      </w:r>
    </w:p>
    <w:p w14:paraId="61D2E406" w14:textId="77777777" w:rsidR="003F3E87" w:rsidRDefault="003F3E87" w:rsidP="003F3E87">
      <w:pPr>
        <w:pStyle w:val="NormalWeb"/>
        <w:shd w:val="clear" w:color="auto" w:fill="FFFFFF"/>
        <w:spacing w:line="360" w:lineRule="auto"/>
        <w:jc w:val="both"/>
        <w:rPr>
          <w:rFonts w:ascii="Arial" w:hAnsi="Arial" w:cs="Arial"/>
        </w:rPr>
      </w:pPr>
      <w:r>
        <w:rPr>
          <w:rFonts w:ascii="Arial" w:hAnsi="Arial" w:cs="Arial"/>
        </w:rPr>
        <w:t>En lugar de usar la cultura como un tema para culpar, las escuelas exitosas honran y aprovechan su poder para llegar a los estudiantes e involucrarlos. Todo el personal de la escuela recibe adiestramiento y apoyo para comprender sus propios antecedentes culturales y lingüísticos y los de sus estudiantes. Los maestros, en particular, reciben desarrollo profesional y apoyo continuo para implementar una pedagogía culturalmente receptiva, una estrategia de instrucción (que se analiza más adelante) en la que los maestros conocen bien a sus estudiantes e integran experiencias y material culturalmente relevantes en el salón de clases para ayudar a los estudiantes a establecer conexiones entre las ideas.</w:t>
      </w:r>
    </w:p>
    <w:p w14:paraId="728299EF" w14:textId="77777777" w:rsidR="003F3E87" w:rsidRDefault="003F3E87" w:rsidP="003F3E87">
      <w:pPr>
        <w:pStyle w:val="NormalWeb"/>
        <w:shd w:val="clear" w:color="auto" w:fill="FFFFFF"/>
        <w:spacing w:line="360" w:lineRule="auto"/>
        <w:jc w:val="both"/>
        <w:rPr>
          <w:rFonts w:ascii="Arial" w:hAnsi="Arial" w:cs="Arial"/>
          <w:color w:val="202124"/>
          <w:shd w:val="clear" w:color="auto" w:fill="FFFFFF"/>
        </w:rPr>
      </w:pPr>
      <w:r>
        <w:rPr>
          <w:rFonts w:ascii="Arial" w:hAnsi="Arial" w:cs="Arial"/>
          <w:color w:val="202124"/>
          <w:shd w:val="clear" w:color="auto" w:fill="FFFFFF"/>
        </w:rPr>
        <w:t>Experimentar otras </w:t>
      </w:r>
      <w:r>
        <w:rPr>
          <w:rFonts w:ascii="Arial" w:hAnsi="Arial" w:cs="Arial"/>
          <w:bCs/>
          <w:color w:val="202124"/>
          <w:shd w:val="clear" w:color="auto" w:fill="FFFFFF"/>
        </w:rPr>
        <w:t>culturas</w:t>
      </w:r>
      <w:r>
        <w:rPr>
          <w:rFonts w:ascii="Arial" w:hAnsi="Arial" w:cs="Arial"/>
          <w:color w:val="202124"/>
          <w:shd w:val="clear" w:color="auto" w:fill="FFFFFF"/>
        </w:rPr>
        <w:t> promueve la tolerancia, la apreciación de la vida y oportunidades para explorar comidas y música, tratar con otras </w:t>
      </w:r>
      <w:r>
        <w:rPr>
          <w:rFonts w:ascii="Arial" w:hAnsi="Arial" w:cs="Arial"/>
          <w:bCs/>
          <w:color w:val="202124"/>
          <w:shd w:val="clear" w:color="auto" w:fill="FFFFFF"/>
        </w:rPr>
        <w:t>culturas</w:t>
      </w:r>
      <w:r>
        <w:rPr>
          <w:rFonts w:ascii="Arial" w:hAnsi="Arial" w:cs="Arial"/>
          <w:color w:val="202124"/>
          <w:shd w:val="clear" w:color="auto" w:fill="FFFFFF"/>
        </w:rPr>
        <w:t> enseña tolerancia, el convivir con personas </w:t>
      </w:r>
      <w:r>
        <w:rPr>
          <w:rFonts w:ascii="Arial" w:hAnsi="Arial" w:cs="Arial"/>
          <w:bCs/>
          <w:color w:val="202124"/>
          <w:shd w:val="clear" w:color="auto" w:fill="FFFFFF"/>
        </w:rPr>
        <w:t>diferentes</w:t>
      </w:r>
      <w:r>
        <w:rPr>
          <w:rFonts w:ascii="Arial" w:hAnsi="Arial" w:cs="Arial"/>
          <w:color w:val="202124"/>
          <w:shd w:val="clear" w:color="auto" w:fill="FFFFFF"/>
        </w:rPr>
        <w:t> de nosotros, para encontrar la manera de acercarnos unos a otros. La diversidad cultural está de moda, no paramos de oír hablar de sus </w:t>
      </w:r>
      <w:r>
        <w:rPr>
          <w:rFonts w:ascii="Arial" w:hAnsi="Arial" w:cs="Arial"/>
          <w:bCs/>
          <w:color w:val="202124"/>
          <w:shd w:val="clear" w:color="auto" w:fill="FFFFFF"/>
        </w:rPr>
        <w:t>ventajas</w:t>
      </w:r>
      <w:r>
        <w:rPr>
          <w:rFonts w:ascii="Arial" w:hAnsi="Arial" w:cs="Arial"/>
          <w:color w:val="202124"/>
          <w:shd w:val="clear" w:color="auto" w:fill="FFFFFF"/>
        </w:rPr>
        <w:t>. Y es cierto: un equipo multicultural tiene </w:t>
      </w:r>
      <w:r>
        <w:rPr>
          <w:rFonts w:ascii="Arial" w:hAnsi="Arial" w:cs="Arial"/>
          <w:bCs/>
          <w:color w:val="202124"/>
          <w:shd w:val="clear" w:color="auto" w:fill="FFFFFF"/>
        </w:rPr>
        <w:t>ventajas</w:t>
      </w:r>
      <w:r>
        <w:rPr>
          <w:rFonts w:ascii="Arial" w:hAnsi="Arial" w:cs="Arial"/>
          <w:color w:val="202124"/>
          <w:shd w:val="clear" w:color="auto" w:fill="FFFFFF"/>
        </w:rPr>
        <w:t> ¡y </w:t>
      </w:r>
      <w:r>
        <w:rPr>
          <w:rFonts w:ascii="Arial" w:hAnsi="Arial" w:cs="Arial"/>
          <w:bCs/>
          <w:color w:val="202124"/>
          <w:shd w:val="clear" w:color="auto" w:fill="FFFFFF"/>
        </w:rPr>
        <w:t>muchas</w:t>
      </w:r>
      <w:r>
        <w:rPr>
          <w:rFonts w:ascii="Arial" w:hAnsi="Arial" w:cs="Arial"/>
          <w:color w:val="202124"/>
          <w:shd w:val="clear" w:color="auto" w:fill="FFFFFF"/>
        </w:rPr>
        <w:t>! En las condiciones adecuadas, puede ser más creativo, más productivo y más efectivo a la hora de solucionar problemas (hasta los más complejos y difíciles de resolver).</w:t>
      </w:r>
    </w:p>
    <w:p w14:paraId="17586B46" w14:textId="77777777" w:rsidR="003F3E87" w:rsidRPr="003F3E87" w:rsidRDefault="003F3E87" w:rsidP="003F3E87">
      <w:pPr>
        <w:jc w:val="both"/>
        <w:rPr>
          <w:rFonts w:ascii="Arial" w:hAnsi="Arial" w:cs="Arial"/>
          <w:b/>
          <w:bCs/>
          <w:iCs/>
          <w:color w:val="000000"/>
          <w:sz w:val="24"/>
          <w:szCs w:val="24"/>
        </w:rPr>
      </w:pPr>
      <w:r w:rsidRPr="003F3E87">
        <w:rPr>
          <w:rFonts w:ascii="Arial" w:hAnsi="Arial" w:cs="Arial"/>
          <w:b/>
          <w:bCs/>
          <w:iCs/>
          <w:color w:val="000000"/>
          <w:sz w:val="24"/>
          <w:szCs w:val="24"/>
        </w:rPr>
        <w:lastRenderedPageBreak/>
        <w:t>Escribir que necesitan o requieren las estructuras para estar en condiciones óptimas para favorecer el cambio de cultura social en los individuos.</w:t>
      </w:r>
    </w:p>
    <w:p w14:paraId="3618233D" w14:textId="77777777" w:rsidR="003F3E87" w:rsidRPr="00A13A63" w:rsidRDefault="003F3E87" w:rsidP="003F3E87">
      <w:pPr>
        <w:spacing w:line="360" w:lineRule="auto"/>
        <w:jc w:val="both"/>
        <w:rPr>
          <w:rFonts w:ascii="Arial" w:hAnsi="Arial" w:cs="Arial"/>
          <w:sz w:val="24"/>
          <w:szCs w:val="24"/>
          <w:lang w:val="es-ES"/>
        </w:rPr>
      </w:pPr>
      <w:r w:rsidRPr="00A13A63">
        <w:rPr>
          <w:rFonts w:ascii="Arial" w:hAnsi="Arial" w:cs="Arial"/>
          <w:sz w:val="24"/>
          <w:szCs w:val="24"/>
          <w:lang w:val="es-ES"/>
        </w:rPr>
        <w:t>Para comenzar, es necesario conocer los aspectos que conforman una cultura organizacional para lograr entender la definición y el proceso de la gestión del cambio. Una cultura organizacional se compone de creencias, valores, hábitos, costumbres y experiencias aplicadas a todos los componentes de una sociedad.</w:t>
      </w:r>
    </w:p>
    <w:p w14:paraId="570CA796" w14:textId="77777777" w:rsidR="003F3E87" w:rsidRPr="00A13A63" w:rsidRDefault="003F3E87" w:rsidP="003F3E87">
      <w:pPr>
        <w:spacing w:line="360" w:lineRule="auto"/>
        <w:jc w:val="both"/>
        <w:rPr>
          <w:rFonts w:ascii="Arial" w:hAnsi="Arial" w:cs="Arial"/>
          <w:sz w:val="24"/>
          <w:szCs w:val="24"/>
          <w:lang w:val="es-ES"/>
        </w:rPr>
      </w:pPr>
      <w:r w:rsidRPr="00A13A63">
        <w:rPr>
          <w:rFonts w:ascii="Arial" w:hAnsi="Arial" w:cs="Arial"/>
          <w:sz w:val="24"/>
          <w:szCs w:val="24"/>
          <w:lang w:val="es-ES"/>
        </w:rPr>
        <w:t>Hay que tener en cuenta que los valores, para que cumplan su objetivo, deben ser valores compartidos. Esto permitirá un mayor sentido de coherencia, cohesión y un propósito para toda la organización.</w:t>
      </w:r>
    </w:p>
    <w:p w14:paraId="1B8609D3" w14:textId="77777777" w:rsidR="003F3E87" w:rsidRPr="00A13A63" w:rsidRDefault="003F3E87" w:rsidP="003F3E87">
      <w:pPr>
        <w:spacing w:line="360" w:lineRule="auto"/>
        <w:jc w:val="both"/>
        <w:rPr>
          <w:rFonts w:ascii="Arial" w:hAnsi="Arial" w:cs="Arial"/>
          <w:sz w:val="24"/>
          <w:szCs w:val="24"/>
          <w:lang w:val="es-ES"/>
        </w:rPr>
      </w:pPr>
      <w:r w:rsidRPr="00A13A63">
        <w:rPr>
          <w:rFonts w:ascii="Arial" w:hAnsi="Arial" w:cs="Arial"/>
          <w:sz w:val="24"/>
          <w:szCs w:val="24"/>
          <w:lang w:val="es-ES"/>
        </w:rPr>
        <w:t xml:space="preserve">En general, la cultura organizacional tiene un gran efecto sobre el comportamiento de sus miembros. </w:t>
      </w:r>
    </w:p>
    <w:p w14:paraId="00339F73" w14:textId="77777777" w:rsidR="003F3E87" w:rsidRDefault="003F3E87" w:rsidP="003F3E87">
      <w:pPr>
        <w:spacing w:line="360" w:lineRule="auto"/>
        <w:jc w:val="both"/>
        <w:rPr>
          <w:rFonts w:ascii="Arial" w:hAnsi="Arial" w:cs="Arial"/>
          <w:sz w:val="24"/>
          <w:szCs w:val="24"/>
          <w:lang w:val="es-ES"/>
        </w:rPr>
      </w:pPr>
      <w:r w:rsidRPr="00A13A63">
        <w:rPr>
          <w:rFonts w:ascii="Arial" w:hAnsi="Arial" w:cs="Arial"/>
          <w:sz w:val="24"/>
          <w:szCs w:val="24"/>
          <w:lang w:val="es-ES"/>
        </w:rPr>
        <w:t>La gestión del cambio es el proceso mediante el cual se gestiona la transición a una nueva realidad. Esta gestión procura convencer y persuadir a los miembros a que logren trabajar en un nuevo contexto que traerá buenos resultados a la organización. Sin embargo, no es tan sencillo cambiar la cultura y los objetivos</w:t>
      </w:r>
    </w:p>
    <w:p w14:paraId="5778B04E" w14:textId="77777777" w:rsidR="003F3E87" w:rsidRDefault="003F3E87" w:rsidP="003F3E87">
      <w:pPr>
        <w:spacing w:line="360" w:lineRule="auto"/>
        <w:jc w:val="both"/>
        <w:rPr>
          <w:rFonts w:ascii="Arial" w:hAnsi="Arial" w:cs="Arial"/>
          <w:sz w:val="24"/>
          <w:szCs w:val="24"/>
          <w:lang w:val="es-ES"/>
        </w:rPr>
      </w:pPr>
      <w:r>
        <w:rPr>
          <w:rFonts w:ascii="Arial" w:hAnsi="Arial" w:cs="Arial"/>
          <w:sz w:val="24"/>
          <w:szCs w:val="24"/>
          <w:lang w:val="es-ES"/>
        </w:rPr>
        <w:t xml:space="preserve">LO QUE SE REQUIERE PARA LOGRARLOS ES: </w:t>
      </w:r>
    </w:p>
    <w:p w14:paraId="4C107CA6" w14:textId="77777777" w:rsidR="003F3E87" w:rsidRDefault="003F3E87" w:rsidP="003F3E87">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Crear un sentido de urgencia.</w:t>
      </w:r>
    </w:p>
    <w:p w14:paraId="2F8ACC24" w14:textId="77777777" w:rsidR="003F3E87" w:rsidRDefault="003F3E87" w:rsidP="003F3E87">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Formación de equipo de cambio.</w:t>
      </w:r>
    </w:p>
    <w:p w14:paraId="7AC640C4" w14:textId="77777777" w:rsidR="003F3E87" w:rsidRDefault="003F3E87" w:rsidP="003F3E87">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Crear una visión clara para el cambio</w:t>
      </w:r>
      <w:r w:rsidRPr="00EE67CC">
        <w:rPr>
          <w:rFonts w:ascii="Arial" w:hAnsi="Arial" w:cs="Arial"/>
          <w:sz w:val="24"/>
          <w:szCs w:val="24"/>
          <w:lang w:val="es-ES"/>
        </w:rPr>
        <w:t>.</w:t>
      </w:r>
    </w:p>
    <w:p w14:paraId="22AF882E" w14:textId="77777777" w:rsidR="003F3E87" w:rsidRDefault="003F3E87" w:rsidP="003F3E87">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Comunicar la visión.</w:t>
      </w:r>
    </w:p>
    <w:p w14:paraId="4308129F" w14:textId="77777777" w:rsidR="003F3E87" w:rsidRDefault="003F3E87" w:rsidP="003F3E87">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Eliminar obstáculos que se puedan presentar frente a la gestión del cambio que se está realizando.</w:t>
      </w:r>
    </w:p>
    <w:p w14:paraId="27BF234C" w14:textId="77777777" w:rsidR="003F3E87" w:rsidRDefault="003F3E87" w:rsidP="003F3E87">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Asegurarse de triunfos a corto plazo.</w:t>
      </w:r>
    </w:p>
    <w:p w14:paraId="6AB9E3AA" w14:textId="77777777" w:rsidR="003F3E87" w:rsidRDefault="003F3E87" w:rsidP="003F3E87">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Construir sobre el cambio.</w:t>
      </w:r>
    </w:p>
    <w:p w14:paraId="785FCE6A" w14:textId="77777777" w:rsidR="003F3E87" w:rsidRDefault="003F3E87" w:rsidP="003F3E87">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Implementar los cambios en la cultura organizacional.</w:t>
      </w:r>
    </w:p>
    <w:p w14:paraId="0E7EBAA9" w14:textId="77777777" w:rsidR="00B46603" w:rsidRDefault="00B46603" w:rsidP="003F3E87">
      <w:pPr>
        <w:pStyle w:val="Prrafodelista"/>
        <w:rPr>
          <w:rFonts w:ascii="Arial" w:hAnsi="Arial" w:cs="Arial"/>
          <w:sz w:val="24"/>
          <w:szCs w:val="24"/>
          <w:lang w:val="es-ES"/>
        </w:rPr>
      </w:pPr>
    </w:p>
    <w:p w14:paraId="2ECBAC81" w14:textId="77777777" w:rsidR="003F3E87" w:rsidRPr="003F3E87" w:rsidRDefault="003F3E87" w:rsidP="003F3E87">
      <w:pPr>
        <w:pStyle w:val="Prrafodelista"/>
        <w:rPr>
          <w:rFonts w:ascii="Arial" w:hAnsi="Arial" w:cs="Arial"/>
          <w:sz w:val="24"/>
          <w:szCs w:val="24"/>
          <w:lang w:val="es-ES"/>
        </w:rPr>
      </w:pPr>
    </w:p>
    <w:p w14:paraId="56A592CD" w14:textId="77777777" w:rsidR="00B46603" w:rsidRDefault="00B46603" w:rsidP="00B46603">
      <w:pPr>
        <w:jc w:val="both"/>
        <w:rPr>
          <w:rFonts w:ascii="Times New Roman" w:hAnsi="Times New Roman" w:cs="Times New Roman"/>
          <w:b/>
          <w:iCs/>
          <w:color w:val="000000"/>
          <w:sz w:val="28"/>
          <w:szCs w:val="32"/>
        </w:rPr>
      </w:pPr>
      <w:r>
        <w:rPr>
          <w:rFonts w:ascii="Times New Roman" w:hAnsi="Times New Roman" w:cs="Times New Roman"/>
          <w:b/>
          <w:iCs/>
          <w:color w:val="000000"/>
          <w:sz w:val="28"/>
          <w:szCs w:val="32"/>
        </w:rPr>
        <w:t>Bibliografías:</w:t>
      </w:r>
    </w:p>
    <w:p w14:paraId="28FD9652" w14:textId="77777777" w:rsidR="003F3E87" w:rsidRPr="003F3E87" w:rsidRDefault="00B46603" w:rsidP="003F3E87">
      <w:pPr>
        <w:pStyle w:val="Prrafodelista"/>
        <w:numPr>
          <w:ilvl w:val="0"/>
          <w:numId w:val="1"/>
        </w:numPr>
        <w:spacing w:line="360" w:lineRule="auto"/>
        <w:rPr>
          <w:rFonts w:ascii="Arial" w:hAnsi="Arial" w:cs="Arial"/>
          <w:color w:val="000000"/>
          <w:sz w:val="24"/>
          <w:shd w:val="clear" w:color="auto" w:fill="FFFFFF"/>
        </w:rPr>
      </w:pPr>
      <w:r w:rsidRPr="003F3E87">
        <w:rPr>
          <w:color w:val="000000"/>
          <w:sz w:val="27"/>
          <w:szCs w:val="27"/>
        </w:rPr>
        <w:lastRenderedPageBreak/>
        <w:t>Marta García-</w:t>
      </w:r>
      <w:proofErr w:type="gramStart"/>
      <w:r w:rsidRPr="003F3E87">
        <w:rPr>
          <w:color w:val="000000"/>
          <w:sz w:val="27"/>
          <w:szCs w:val="27"/>
        </w:rPr>
        <w:t>Lastra .</w:t>
      </w:r>
      <w:proofErr w:type="gramEnd"/>
      <w:r w:rsidRPr="003F3E87">
        <w:rPr>
          <w:color w:val="000000"/>
          <w:sz w:val="27"/>
          <w:szCs w:val="27"/>
        </w:rPr>
        <w:t xml:space="preserve"> (2011). Educar en la sociedad contemporánea. Hacia un nuevo escenario </w:t>
      </w:r>
      <w:proofErr w:type="gramStart"/>
      <w:r w:rsidRPr="003F3E87">
        <w:rPr>
          <w:color w:val="000000"/>
          <w:sz w:val="27"/>
          <w:szCs w:val="27"/>
        </w:rPr>
        <w:t>educativo .</w:t>
      </w:r>
      <w:proofErr w:type="gramEnd"/>
      <w:r w:rsidRPr="003F3E87">
        <w:rPr>
          <w:color w:val="000000"/>
          <w:sz w:val="27"/>
          <w:szCs w:val="27"/>
        </w:rPr>
        <w:t xml:space="preserve"> 27/04/2021, de Universidad de Cantabria, España Sitio web: http://www.scielo.org.mx/scielo.php?script=sci_arttext&amp;pid=S1405-14352013000200008</w:t>
      </w:r>
      <w:r w:rsidR="003F3E87" w:rsidRPr="003F3E87">
        <w:rPr>
          <w:rFonts w:ascii="Arial" w:hAnsi="Arial" w:cs="Arial"/>
          <w:color w:val="000000"/>
          <w:sz w:val="24"/>
          <w:shd w:val="clear" w:color="auto" w:fill="FFFFFF"/>
        </w:rPr>
        <w:t xml:space="preserve"> </w:t>
      </w:r>
    </w:p>
    <w:p w14:paraId="237C8515" w14:textId="77777777" w:rsidR="003F3E87" w:rsidRPr="003F3E87" w:rsidRDefault="003F3E87" w:rsidP="003F3E87">
      <w:pPr>
        <w:pStyle w:val="Prrafodelista"/>
        <w:numPr>
          <w:ilvl w:val="0"/>
          <w:numId w:val="1"/>
        </w:numPr>
        <w:spacing w:line="360" w:lineRule="auto"/>
        <w:rPr>
          <w:rFonts w:ascii="Arial" w:hAnsi="Arial" w:cs="Arial"/>
          <w:sz w:val="24"/>
        </w:rPr>
      </w:pPr>
      <w:r w:rsidRPr="003F3E87">
        <w:rPr>
          <w:rFonts w:ascii="Arial" w:hAnsi="Arial" w:cs="Arial"/>
          <w:color w:val="000000"/>
          <w:sz w:val="24"/>
          <w:shd w:val="clear" w:color="auto" w:fill="FFFFFF"/>
        </w:rPr>
        <w:t>Beck, Ulrich (1996), "Teoría de la Sociedad del Riesgo", en Giddens, Anthony </w:t>
      </w:r>
      <w:r w:rsidRPr="003F3E87">
        <w:rPr>
          <w:rFonts w:ascii="Arial" w:hAnsi="Arial" w:cs="Arial"/>
          <w:iCs/>
          <w:color w:val="000000"/>
          <w:sz w:val="24"/>
          <w:shd w:val="clear" w:color="auto" w:fill="FFFFFF"/>
        </w:rPr>
        <w:t>et al</w:t>
      </w:r>
      <w:r w:rsidRPr="003F3E87">
        <w:rPr>
          <w:rFonts w:ascii="Arial" w:hAnsi="Arial" w:cs="Arial"/>
          <w:color w:val="000000"/>
          <w:sz w:val="24"/>
          <w:shd w:val="clear" w:color="auto" w:fill="FFFFFF"/>
        </w:rPr>
        <w:t>.[</w:t>
      </w:r>
      <w:proofErr w:type="spellStart"/>
      <w:r w:rsidRPr="003F3E87">
        <w:rPr>
          <w:rFonts w:ascii="Arial" w:hAnsi="Arial" w:cs="Arial"/>
          <w:color w:val="000000"/>
          <w:sz w:val="24"/>
          <w:shd w:val="clear" w:color="auto" w:fill="FFFFFF"/>
        </w:rPr>
        <w:t>coords</w:t>
      </w:r>
      <w:proofErr w:type="spellEnd"/>
      <w:r w:rsidRPr="003F3E87">
        <w:rPr>
          <w:rFonts w:ascii="Arial" w:hAnsi="Arial" w:cs="Arial"/>
          <w:color w:val="000000"/>
          <w:sz w:val="24"/>
          <w:shd w:val="clear" w:color="auto" w:fill="FFFFFF"/>
        </w:rPr>
        <w:t>.], </w:t>
      </w:r>
      <w:r w:rsidRPr="003F3E87">
        <w:rPr>
          <w:rFonts w:ascii="Arial" w:hAnsi="Arial" w:cs="Arial"/>
          <w:iCs/>
          <w:color w:val="000000"/>
          <w:sz w:val="24"/>
          <w:shd w:val="clear" w:color="auto" w:fill="FFFFFF"/>
        </w:rPr>
        <w:t>Las consecuencias perversas de la modernidad,</w:t>
      </w:r>
      <w:r w:rsidRPr="003F3E87">
        <w:rPr>
          <w:rFonts w:ascii="Arial" w:hAnsi="Arial" w:cs="Arial"/>
          <w:color w:val="000000"/>
          <w:sz w:val="24"/>
          <w:shd w:val="clear" w:color="auto" w:fill="FFFFFF"/>
        </w:rPr>
        <w:t xml:space="preserve"> España: </w:t>
      </w:r>
      <w:proofErr w:type="spellStart"/>
      <w:r w:rsidRPr="003F3E87">
        <w:rPr>
          <w:rFonts w:ascii="Arial" w:hAnsi="Arial" w:cs="Arial"/>
          <w:color w:val="000000"/>
          <w:sz w:val="24"/>
          <w:shd w:val="clear" w:color="auto" w:fill="FFFFFF"/>
        </w:rPr>
        <w:t>Anthropos</w:t>
      </w:r>
      <w:proofErr w:type="spellEnd"/>
      <w:r w:rsidRPr="003F3E87">
        <w:rPr>
          <w:rFonts w:ascii="Arial" w:hAnsi="Arial" w:cs="Arial"/>
          <w:color w:val="000000"/>
          <w:sz w:val="24"/>
          <w:shd w:val="clear" w:color="auto" w:fill="FFFFFF"/>
        </w:rPr>
        <w:t>.  </w:t>
      </w:r>
    </w:p>
    <w:p w14:paraId="7B0A406E" w14:textId="77777777" w:rsidR="003F3E87" w:rsidRPr="00B46603" w:rsidRDefault="003F3E87" w:rsidP="003F3E87">
      <w:pPr>
        <w:pStyle w:val="NormalWeb"/>
        <w:shd w:val="clear" w:color="auto" w:fill="FFFFFF"/>
        <w:spacing w:line="360" w:lineRule="auto"/>
        <w:jc w:val="both"/>
        <w:rPr>
          <w:color w:val="000000"/>
        </w:rPr>
      </w:pPr>
    </w:p>
    <w:p w14:paraId="5356B8F1" w14:textId="77777777" w:rsidR="003F3E87" w:rsidRPr="00B46603" w:rsidRDefault="003F3E87" w:rsidP="003F3E87">
      <w:pPr>
        <w:pStyle w:val="NormalWeb"/>
        <w:shd w:val="clear" w:color="auto" w:fill="FFFFFF"/>
        <w:spacing w:line="360" w:lineRule="auto"/>
        <w:ind w:firstLine="60"/>
        <w:jc w:val="both"/>
        <w:rPr>
          <w:color w:val="000000"/>
        </w:rPr>
      </w:pPr>
    </w:p>
    <w:p w14:paraId="4101CE7E" w14:textId="77777777" w:rsidR="00B46603" w:rsidRPr="00B46603" w:rsidRDefault="00B46603" w:rsidP="00B46603">
      <w:pPr>
        <w:jc w:val="both"/>
        <w:rPr>
          <w:rFonts w:ascii="Times New Roman" w:hAnsi="Times New Roman" w:cs="Times New Roman"/>
          <w:b/>
          <w:iCs/>
          <w:color w:val="000000"/>
          <w:sz w:val="28"/>
          <w:szCs w:val="32"/>
        </w:rPr>
      </w:pPr>
    </w:p>
    <w:sectPr w:rsidR="00B46603" w:rsidRPr="00B466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43F1A"/>
    <w:multiLevelType w:val="hybridMultilevel"/>
    <w:tmpl w:val="00260CB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DD1B62"/>
    <w:multiLevelType w:val="hybridMultilevel"/>
    <w:tmpl w:val="4050B55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F7"/>
    <w:rsid w:val="000C56F7"/>
    <w:rsid w:val="003F3E87"/>
    <w:rsid w:val="00440823"/>
    <w:rsid w:val="00987506"/>
    <w:rsid w:val="00B46603"/>
    <w:rsid w:val="00CF70AA"/>
    <w:rsid w:val="00DD2C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0FA6"/>
  <w15:chartTrackingRefBased/>
  <w15:docId w15:val="{F057B3A4-23FA-43F6-B9D3-7DC0EB51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6F7"/>
  </w:style>
  <w:style w:type="paragraph" w:styleId="Ttulo2">
    <w:name w:val="heading 2"/>
    <w:basedOn w:val="Normal"/>
    <w:next w:val="Normal"/>
    <w:link w:val="Ttulo2Car"/>
    <w:uiPriority w:val="9"/>
    <w:semiHidden/>
    <w:unhideWhenUsed/>
    <w:qFormat/>
    <w:rsid w:val="000C56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0C56F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C56F7"/>
    <w:rPr>
      <w:rFonts w:ascii="Times New Roman" w:eastAsia="Times New Roman" w:hAnsi="Times New Roman" w:cs="Times New Roman"/>
      <w:b/>
      <w:bCs/>
      <w:sz w:val="27"/>
      <w:szCs w:val="27"/>
      <w:lang w:eastAsia="es-MX"/>
    </w:rPr>
  </w:style>
  <w:style w:type="character" w:customStyle="1" w:styleId="Ttulo2Car">
    <w:name w:val="Título 2 Car"/>
    <w:basedOn w:val="Fuentedeprrafopredeter"/>
    <w:link w:val="Ttulo2"/>
    <w:uiPriority w:val="9"/>
    <w:semiHidden/>
    <w:rsid w:val="000C56F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B4660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46603"/>
    <w:rPr>
      <w:color w:val="0000FF"/>
      <w:u w:val="single"/>
    </w:rPr>
  </w:style>
  <w:style w:type="paragraph" w:styleId="Prrafodelista">
    <w:name w:val="List Paragraph"/>
    <w:basedOn w:val="Normal"/>
    <w:uiPriority w:val="34"/>
    <w:qFormat/>
    <w:rsid w:val="003F3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408923">
      <w:bodyDiv w:val="1"/>
      <w:marLeft w:val="0"/>
      <w:marRight w:val="0"/>
      <w:marTop w:val="0"/>
      <w:marBottom w:val="0"/>
      <w:divBdr>
        <w:top w:val="none" w:sz="0" w:space="0" w:color="auto"/>
        <w:left w:val="none" w:sz="0" w:space="0" w:color="auto"/>
        <w:bottom w:val="none" w:sz="0" w:space="0" w:color="auto"/>
        <w:right w:val="none" w:sz="0" w:space="0" w:color="auto"/>
      </w:divBdr>
    </w:div>
    <w:div w:id="1049569883">
      <w:bodyDiv w:val="1"/>
      <w:marLeft w:val="0"/>
      <w:marRight w:val="0"/>
      <w:marTop w:val="0"/>
      <w:marBottom w:val="0"/>
      <w:divBdr>
        <w:top w:val="none" w:sz="0" w:space="0" w:color="auto"/>
        <w:left w:val="none" w:sz="0" w:space="0" w:color="auto"/>
        <w:bottom w:val="none" w:sz="0" w:space="0" w:color="auto"/>
        <w:right w:val="none" w:sz="0" w:space="0" w:color="auto"/>
      </w:divBdr>
    </w:div>
    <w:div w:id="1897889171">
      <w:bodyDiv w:val="1"/>
      <w:marLeft w:val="0"/>
      <w:marRight w:val="0"/>
      <w:marTop w:val="0"/>
      <w:marBottom w:val="0"/>
      <w:divBdr>
        <w:top w:val="none" w:sz="0" w:space="0" w:color="auto"/>
        <w:left w:val="none" w:sz="0" w:space="0" w:color="auto"/>
        <w:bottom w:val="none" w:sz="0" w:space="0" w:color="auto"/>
        <w:right w:val="none" w:sz="0" w:space="0" w:color="auto"/>
      </w:divBdr>
    </w:div>
    <w:div w:id="2018119607">
      <w:bodyDiv w:val="1"/>
      <w:marLeft w:val="0"/>
      <w:marRight w:val="0"/>
      <w:marTop w:val="0"/>
      <w:marBottom w:val="0"/>
      <w:divBdr>
        <w:top w:val="none" w:sz="0" w:space="0" w:color="auto"/>
        <w:left w:val="none" w:sz="0" w:space="0" w:color="auto"/>
        <w:bottom w:val="none" w:sz="0" w:space="0" w:color="auto"/>
        <w:right w:val="none" w:sz="0" w:space="0" w:color="auto"/>
      </w:divBdr>
    </w:div>
    <w:div w:id="210884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2MA7419B3621M133A0M1B7623&amp;idMateria=6145&amp;idMateria=6145&amp;a=M174&amp;an=DANIEL%20DIAZ%20GUTIERRE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1108</Words>
  <Characters>6097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cruz</dc:creator>
  <cp:keywords/>
  <dc:description/>
  <cp:lastModifiedBy>palla gonzañeZ</cp:lastModifiedBy>
  <cp:revision>2</cp:revision>
  <dcterms:created xsi:type="dcterms:W3CDTF">2021-04-28T01:24:00Z</dcterms:created>
  <dcterms:modified xsi:type="dcterms:W3CDTF">2021-04-28T01:24:00Z</dcterms:modified>
</cp:coreProperties>
</file>