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NORAMAL DE EDUCACIÓN PREESCOLAR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631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83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Trabajo docente y proyectos de mejora escolar.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6° semestre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Maestra: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Dolores Patricia Segovia Gómez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i w:val="1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44"/>
          <w:szCs w:val="44"/>
          <w:u w:val="single"/>
          <w:rtl w:val="0"/>
        </w:rPr>
        <w:t xml:space="preserve">Bosquejo de entrevista.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Briseida Guadalupe Medrano Gallegos #11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Sofia Mali Siller Valdes #19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Grado: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3°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Sección: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27 de abril del 2021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Nombre: ______________________________________________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Zona escolar: ________________________   Región:____________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Clave centro de trabajo:_________________________________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Años de servicio: ____________________________________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Propósito: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Analizar e indagar sobre la función de la supervisión que se maneja dentro del jardín de niños en los tiempos de pandemia, así mismo las acciones pedagógicas que se realizan y el seguimiento del programa escolar de mejora continúa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¿Por qué es necesario que exista la supervisión educativa?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¿Cuáles son las funciones de un supervisor educativo?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impacta su labor de supervisión ante  la pandemia?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ha sido las estrategias que se ha implementado para tener mayor comunicación con los docentes?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¿Qué problemáticas se han afrentado en las estrategias ante la pandemia?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80" w:before="28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¿Considera que hoy es un reto la educación a distancia, para todos los que participan en el proceso educativo? ¿Por qué?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fueron los desafíos del personal docente para la organización, integración, funcionamiento y seguimiento del Programa Escolar de Mejora Continua (PEMC) en tiempos de pandemia?   </w:t>
      </w:r>
    </w:p>
    <w:p w:rsidR="00000000" w:rsidDel="00000000" w:rsidP="00000000" w:rsidRDefault="00000000" w:rsidRPr="00000000" w14:paraId="00000034">
      <w:pPr>
        <w:shd w:fill="ffffff" w:val="clear"/>
        <w:spacing w:after="280" w:before="280" w:line="240" w:lineRule="auto"/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han sido las dificultades que ha presentado al momento de realizar la labor de supervisión en estos ante situación actual?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¿Cada cuando se implementan programas para dirigido a la comunidad educativa?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 han sido las modificaciones que se han realizado en el proceso del programa escolar de mejora continua ante estos tiempos de pandemia?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son los temas (especificas) que se abordan en el  consejos técnico para resolver  ante las nuevos retos por la pandemia?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han sido las nuevas estrategias que han propuesto el colectivo docente que aportan beneficios a la comunidad educativa?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headerReference r:id="rId8" w:type="even"/>
          <w:pgSz w:h="15840" w:w="12240" w:orient="portrait"/>
          <w:pgMar w:bottom="1417" w:top="1417" w:left="1701" w:right="1701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Rubrica de la entrevista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8258175" cy="3314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[Escriba texto]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Escuela Normal de Educación Preescolar del Estado de Coahuila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-299084</wp:posOffset>
          </wp:positionH>
          <wp:positionV relativeFrom="paragraph">
            <wp:posOffset>-154304</wp:posOffset>
          </wp:positionV>
          <wp:extent cx="933450" cy="8388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8388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Licenciatura en educación preescolar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Ciclo escolar 2020- 2021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Entrevista a supervisión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