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78236581"/>
        <w:docPartObj>
          <w:docPartGallery w:val="Cover Pages"/>
          <w:docPartUnique/>
        </w:docPartObj>
      </w:sdtPr>
      <w:sdtEndPr>
        <w:rPr>
          <w:rFonts w:ascii="Tahoma" w:hAnsi="Tahoma" w:cs="Tahoma"/>
          <w:sz w:val="24"/>
          <w:szCs w:val="24"/>
        </w:rPr>
      </w:sdtEndPr>
      <w:sdtContent>
        <w:p w14:paraId="12369D90" w14:textId="5BEE738F" w:rsidR="00CB22D4" w:rsidRDefault="00CB22D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4475C54" wp14:editId="7EAB4F1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4665D" w14:textId="058A54DF" w:rsidR="00CB22D4" w:rsidRDefault="00E23C1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B2DED9" wp14:editId="04888CB3">
                                        <wp:extent cx="1228725" cy="1514475"/>
                                        <wp:effectExtent l="0" t="0" r="0" b="9525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725" cy="1514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AF66E" w14:textId="406EA599" w:rsidR="00CB22D4" w:rsidRPr="00E23C16" w:rsidRDefault="00E23C16" w:rsidP="00E23C1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</w:pPr>
                                  <w:r w:rsidRPr="00E23C16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normal de educacion preescolar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4475C54"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" fillcolor="#f4b083 [1941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" fillcolor="#f4b083 [1941]" stroked="f" strokeweight="1pt">
                      <v:textbox inset="36pt,57.6pt,36pt,36pt">
                        <w:txbxContent>
                          <w:p w14:paraId="5E04665D" w14:textId="058A54DF" w:rsidR="00CB22D4" w:rsidRDefault="00E23C1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2DED9" wp14:editId="04888CB3">
                                  <wp:extent cx="1228725" cy="15144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1CAAF66E" w14:textId="406EA599" w:rsidR="00CB22D4" w:rsidRPr="00E23C16" w:rsidRDefault="00E23C16" w:rsidP="00E23C16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23C16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t>normal de educacion preescolar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A639A49" w14:textId="2E18E90C" w:rsidR="00CB22D4" w:rsidRDefault="00E23C16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B12B0F" wp14:editId="5FDDF25C">
                    <wp:simplePos x="0" y="0"/>
                    <wp:positionH relativeFrom="column">
                      <wp:posOffset>-470535</wp:posOffset>
                    </wp:positionH>
                    <wp:positionV relativeFrom="paragraph">
                      <wp:posOffset>3500756</wp:posOffset>
                    </wp:positionV>
                    <wp:extent cx="6591300" cy="3086100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1300" cy="3086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D50481" w14:textId="77777777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LIC. EDUCACION PREESCOLAR</w:t>
                                </w:r>
                              </w:p>
                              <w:p w14:paraId="708A249B" w14:textId="59B31DD3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MATERIA: estrategias de música y canto en educación preescolar</w:t>
                                </w:r>
                              </w:p>
                              <w:p w14:paraId="5B02A414" w14:textId="77777777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Maestro: Jorge Ariel Morales García</w:t>
                                </w:r>
                              </w:p>
                              <w:p w14:paraId="2E6A1B09" w14:textId="77777777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Alumna: Julia Yessenia Montoya Silva</w:t>
                                </w:r>
                              </w:p>
                              <w:p w14:paraId="3D3AD41F" w14:textId="77777777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Primer año segundo semestre 1 “C”</w:t>
                                </w:r>
                              </w:p>
                              <w:p w14:paraId="427D00E2" w14:textId="61B789B8" w:rsid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23C16"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  <w:t>Numero de lista: 12</w:t>
                                </w:r>
                              </w:p>
                              <w:p w14:paraId="592B411E" w14:textId="18657588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A092D14" w14:textId="77777777" w:rsidR="00E23C16" w:rsidRPr="00E23C16" w:rsidRDefault="00E23C16" w:rsidP="00E23C1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83006C9" w14:textId="77777777" w:rsidR="00E23C16" w:rsidRDefault="00E23C16" w:rsidP="00E23C1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B12B0F" id="Cuadro de texto 1" o:spid="_x0000_s1030" type="#_x0000_t202" style="position:absolute;margin-left:-37.05pt;margin-top:275.65pt;width:519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" filled="f" stroked="f" strokeweight=".5pt">
                    <v:textbox>
                      <w:txbxContent>
                        <w:p w14:paraId="7BD50481" w14:textId="77777777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LIC. EDUCACION PREESCOLAR</w:t>
                          </w:r>
                        </w:p>
                        <w:p w14:paraId="708A249B" w14:textId="59B31DD3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MATERIA: estrategias de música y canto en educación preescolar</w:t>
                          </w:r>
                        </w:p>
                        <w:p w14:paraId="5B02A414" w14:textId="77777777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Maestro: Jorge Ariel Morales García</w:t>
                          </w:r>
                        </w:p>
                        <w:p w14:paraId="2E6A1B09" w14:textId="77777777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Alumna: Julia Yessenia Montoya Silva</w:t>
                          </w:r>
                        </w:p>
                        <w:p w14:paraId="3D3AD41F" w14:textId="77777777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Primer año segundo semestre 1 “C”</w:t>
                          </w:r>
                        </w:p>
                        <w:p w14:paraId="427D00E2" w14:textId="61B789B8" w:rsid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  <w:r w:rsidRPr="00E23C16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Numero de lista: 12</w:t>
                          </w:r>
                        </w:p>
                        <w:p w14:paraId="592B411E" w14:textId="18657588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</w:p>
                        <w:p w14:paraId="0A092D14" w14:textId="77777777" w:rsidR="00E23C16" w:rsidRPr="00E23C16" w:rsidRDefault="00E23C16" w:rsidP="00E23C16">
                          <w:pPr>
                            <w:jc w:val="center"/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</w:pPr>
                        </w:p>
                        <w:p w14:paraId="783006C9" w14:textId="77777777" w:rsidR="00E23C16" w:rsidRDefault="00E23C16" w:rsidP="00E23C16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B22D4"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p w14:paraId="102CD762" w14:textId="7749EF05" w:rsidR="00986038" w:rsidRDefault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lastRenderedPageBreak/>
        <w:t>Se conoce como música a la combinación ordenada de ritmo, melodía y armonía que resulta agradable a los oídos. Por su carácter inmaterial, la música se considera un arte temporal o del tiempo, al igual que la literatura.</w:t>
      </w:r>
    </w:p>
    <w:p w14:paraId="460CF2E8" w14:textId="7394CD07" w:rsidR="00AC495F" w:rsidRDefault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>La música es una manifestación artística y cultural de los pueblos, de manera que adquiere diversas formas, valores estéticos y funciones según su contexto. A la vez, es uno de los medios por el cual un individuo expresa sus sentimientos.</w:t>
      </w:r>
    </w:p>
    <w:p w14:paraId="57D1E80F" w14:textId="77777777" w:rsidR="00AC495F" w:rsidRPr="00AC495F" w:rsidRDefault="00AC495F" w:rsidP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>Tipos de música</w:t>
      </w:r>
    </w:p>
    <w:p w14:paraId="2E8A80E0" w14:textId="30FF69F4" w:rsidR="00AC495F" w:rsidRDefault="00AC495F" w:rsidP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 xml:space="preserve">La música puede clasificarse de muchas maneras, bien sea </w:t>
      </w:r>
      <w:proofErr w:type="gramStart"/>
      <w:r w:rsidRPr="00AC495F">
        <w:rPr>
          <w:rFonts w:ascii="Tahoma" w:hAnsi="Tahoma" w:cs="Tahoma"/>
          <w:sz w:val="24"/>
          <w:szCs w:val="24"/>
        </w:rPr>
        <w:t>de acuerdo a</w:t>
      </w:r>
      <w:proofErr w:type="gramEnd"/>
      <w:r w:rsidRPr="00AC495F">
        <w:rPr>
          <w:rFonts w:ascii="Tahoma" w:hAnsi="Tahoma" w:cs="Tahoma"/>
          <w:sz w:val="24"/>
          <w:szCs w:val="24"/>
        </w:rPr>
        <w:t xml:space="preserve"> la forma, instrumentación, función, origen o estilo y contexto.</w:t>
      </w:r>
    </w:p>
    <w:p w14:paraId="519081B1" w14:textId="461AEC8D" w:rsidR="00AC495F" w:rsidRDefault="00AC495F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música se puede escuchar en diferentes ambientes </w:t>
      </w:r>
    </w:p>
    <w:p w14:paraId="073CD77E" w14:textId="77777777" w:rsidR="00AC495F" w:rsidRDefault="00AC495F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Como la música de religión</w:t>
      </w:r>
    </w:p>
    <w:p w14:paraId="58FCD983" w14:textId="77777777" w:rsidR="00AC495F" w:rsidRPr="00AC495F" w:rsidRDefault="00AC495F" w:rsidP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>La música y la religión están fuertemente vinculadas en una relación donde ambas son complejas, diversas y difíciles de definir.</w:t>
      </w:r>
    </w:p>
    <w:p w14:paraId="3BCA47E8" w14:textId="77777777" w:rsidR="00AC495F" w:rsidRPr="00AC495F" w:rsidRDefault="00AC495F" w:rsidP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>Los creyentes religiosos han escuchado a la música como la voz de los dioses y la cacofonía de los demonios, la han adorado como la forma más pura de espiritualidad, y la han condenado como la depravación sensual máxima; con igual entusiasmo, ellos han promovido su uso en adoración al mismo tiempo que se esfuerzan de erradicarla tanto de la vida religiosa como de la secular.</w:t>
      </w:r>
    </w:p>
    <w:p w14:paraId="46BB2AA8" w14:textId="11CD6447" w:rsidR="00AC495F" w:rsidRDefault="00AC495F" w:rsidP="00AC495F">
      <w:pPr>
        <w:rPr>
          <w:rFonts w:ascii="Tahoma" w:hAnsi="Tahoma" w:cs="Tahoma"/>
          <w:sz w:val="24"/>
          <w:szCs w:val="24"/>
        </w:rPr>
      </w:pPr>
      <w:r w:rsidRPr="00AC495F">
        <w:rPr>
          <w:rFonts w:ascii="Tahoma" w:hAnsi="Tahoma" w:cs="Tahoma"/>
          <w:sz w:val="24"/>
          <w:szCs w:val="24"/>
        </w:rPr>
        <w:t xml:space="preserve">Como no es un fenómeno neutral, la música logra tener un valor muy positivo o negativo que refleja su importancia universal en la esfera religiosa.  </w:t>
      </w:r>
    </w:p>
    <w:p w14:paraId="0F8CBB88" w14:textId="29107DC4" w:rsidR="00AC495F" w:rsidRDefault="00AC495F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Canción hay ángeles volando en este lugar</w:t>
      </w:r>
    </w:p>
    <w:p w14:paraId="78B58C89" w14:textId="11A46A7A" w:rsidR="00AC495F" w:rsidRDefault="00AC495F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Canción dios </w:t>
      </w:r>
      <w:r w:rsidR="00011E6E">
        <w:rPr>
          <w:rFonts w:ascii="Tahoma" w:hAnsi="Tahoma" w:cs="Tahoma"/>
          <w:sz w:val="24"/>
          <w:szCs w:val="24"/>
        </w:rPr>
        <w:t>está</w:t>
      </w:r>
      <w:r>
        <w:rPr>
          <w:rFonts w:ascii="Tahoma" w:hAnsi="Tahoma" w:cs="Tahoma"/>
          <w:sz w:val="24"/>
          <w:szCs w:val="24"/>
        </w:rPr>
        <w:t xml:space="preserve"> aquí</w:t>
      </w:r>
    </w:p>
    <w:p w14:paraId="6B957268" w14:textId="268D8186" w:rsidR="00011E6E" w:rsidRDefault="00011E6E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Música de deporte </w:t>
      </w:r>
    </w:p>
    <w:p w14:paraId="1DAEAB4D" w14:textId="410A6E8A" w:rsidR="00011E6E" w:rsidRDefault="00011E6E" w:rsidP="00AC495F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t xml:space="preserve">La música es uno de los elementos que integran ciertas disciplinas deportivas. La elección de </w:t>
      </w:r>
      <w:proofErr w:type="gramStart"/>
      <w:r w:rsidRPr="00011E6E">
        <w:rPr>
          <w:rFonts w:ascii="Tahoma" w:hAnsi="Tahoma" w:cs="Tahoma"/>
          <w:sz w:val="24"/>
          <w:szCs w:val="24"/>
        </w:rPr>
        <w:t>la misma</w:t>
      </w:r>
      <w:proofErr w:type="gramEnd"/>
      <w:r w:rsidRPr="00011E6E">
        <w:rPr>
          <w:rFonts w:ascii="Tahoma" w:hAnsi="Tahoma" w:cs="Tahoma"/>
          <w:sz w:val="24"/>
          <w:szCs w:val="24"/>
        </w:rPr>
        <w:t xml:space="preserve"> determina el estilo y el carácter de la ejecución del ejercicio. El acercamiento a este tipo de disciplinas desde el punto de vista musical abre caminos alternativos y motivadores hacia el conocimiento de </w:t>
      </w:r>
      <w:proofErr w:type="gramStart"/>
      <w:r w:rsidRPr="00011E6E">
        <w:rPr>
          <w:rFonts w:ascii="Tahoma" w:hAnsi="Tahoma" w:cs="Tahoma"/>
          <w:sz w:val="24"/>
          <w:szCs w:val="24"/>
        </w:rPr>
        <w:t>las mismas</w:t>
      </w:r>
      <w:proofErr w:type="gramEnd"/>
      <w:r w:rsidRPr="00011E6E">
        <w:rPr>
          <w:rFonts w:ascii="Tahoma" w:hAnsi="Tahoma" w:cs="Tahoma"/>
          <w:sz w:val="24"/>
          <w:szCs w:val="24"/>
        </w:rPr>
        <w:t>.</w:t>
      </w:r>
    </w:p>
    <w:p w14:paraId="5C359B50" w14:textId="21A10046" w:rsidR="00011E6E" w:rsidRPr="00011E6E" w:rsidRDefault="00011E6E" w:rsidP="00011E6E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t xml:space="preserve">a sintonía entre la música y el ejercicio técnico deportivo es un aspecto muy importante a la hora de que una acción sea más o menos coherente. El análisis desde el punto de vista </w:t>
      </w:r>
      <w:r w:rsidR="00CB22D4" w:rsidRPr="00011E6E">
        <w:rPr>
          <w:rFonts w:ascii="Tahoma" w:hAnsi="Tahoma" w:cs="Tahoma"/>
          <w:sz w:val="24"/>
          <w:szCs w:val="24"/>
        </w:rPr>
        <w:t>musical</w:t>
      </w:r>
      <w:r w:rsidRPr="00011E6E">
        <w:rPr>
          <w:rFonts w:ascii="Tahoma" w:hAnsi="Tahoma" w:cs="Tahoma"/>
          <w:sz w:val="24"/>
          <w:szCs w:val="24"/>
        </w:rPr>
        <w:t xml:space="preserve"> nos da paso no sólo al mundo deportivo, sino al musical.</w:t>
      </w:r>
    </w:p>
    <w:p w14:paraId="0F9439FC" w14:textId="77777777" w:rsidR="00011E6E" w:rsidRPr="00011E6E" w:rsidRDefault="00011E6E" w:rsidP="00011E6E">
      <w:pPr>
        <w:rPr>
          <w:rFonts w:ascii="Tahoma" w:hAnsi="Tahoma" w:cs="Tahoma"/>
          <w:sz w:val="24"/>
          <w:szCs w:val="24"/>
        </w:rPr>
      </w:pPr>
    </w:p>
    <w:p w14:paraId="483F6AF1" w14:textId="4A68BAC9" w:rsidR="00011E6E" w:rsidRDefault="00011E6E" w:rsidP="00011E6E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lastRenderedPageBreak/>
        <w:t xml:space="preserve">A través de este enfoque se accede al conocimiento deportivo desde la perspectiva artística. Coreografía, </w:t>
      </w:r>
      <w:r w:rsidRPr="00011E6E">
        <w:rPr>
          <w:rFonts w:ascii="Tahoma" w:hAnsi="Tahoma" w:cs="Tahoma"/>
          <w:sz w:val="24"/>
          <w:szCs w:val="24"/>
        </w:rPr>
        <w:t>coordinación, ritmo</w:t>
      </w:r>
      <w:r w:rsidRPr="00011E6E">
        <w:rPr>
          <w:rFonts w:ascii="Tahoma" w:hAnsi="Tahoma" w:cs="Tahoma"/>
          <w:sz w:val="24"/>
          <w:szCs w:val="24"/>
        </w:rPr>
        <w:t>, pulso, agógica, dinámica, carácter y estilo son conceptos que coexisten en ejercicios deportivos de gran técnica. Disciplinas minoritarias como el patinaje o la gimnasia rítmica podrían encontrar en este tipo de análisis una manera de ampliar su campo de interés.</w:t>
      </w:r>
    </w:p>
    <w:p w14:paraId="2ED29533" w14:textId="657F734C" w:rsidR="00011E6E" w:rsidRDefault="00011E6E" w:rsidP="00011E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Natación sincronizada </w:t>
      </w:r>
    </w:p>
    <w:p w14:paraId="6577299C" w14:textId="1A620614" w:rsidR="00011E6E" w:rsidRDefault="00011E6E" w:rsidP="00011E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Patinaje artístico </w:t>
      </w:r>
    </w:p>
    <w:p w14:paraId="0B623EAC" w14:textId="77777777" w:rsidR="00011E6E" w:rsidRDefault="00011E6E" w:rsidP="00011E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Gimnasia rítmica</w:t>
      </w:r>
    </w:p>
    <w:p w14:paraId="3D8FDDBF" w14:textId="6563E49E" w:rsidR="00011E6E" w:rsidRDefault="00011E6E" w:rsidP="00011E6E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t>música</w:t>
      </w:r>
      <w:r w:rsidRPr="00011E6E">
        <w:rPr>
          <w:rFonts w:ascii="Tahoma" w:hAnsi="Tahoma" w:cs="Tahoma"/>
          <w:sz w:val="24"/>
          <w:szCs w:val="24"/>
        </w:rPr>
        <w:t xml:space="preserve"> en los </w:t>
      </w:r>
      <w:r w:rsidRPr="00011E6E">
        <w:rPr>
          <w:rFonts w:ascii="Tahoma" w:hAnsi="Tahoma" w:cs="Tahoma"/>
          <w:sz w:val="24"/>
          <w:szCs w:val="24"/>
        </w:rPr>
        <w:t>países</w:t>
      </w:r>
      <w:r w:rsidRPr="00011E6E">
        <w:rPr>
          <w:rFonts w:ascii="Tahoma" w:hAnsi="Tahoma" w:cs="Tahoma"/>
          <w:sz w:val="24"/>
          <w:szCs w:val="24"/>
        </w:rPr>
        <w:t xml:space="preserve"> himnos</w:t>
      </w:r>
    </w:p>
    <w:p w14:paraId="537A762F" w14:textId="77777777" w:rsidR="00011E6E" w:rsidRPr="00011E6E" w:rsidRDefault="00011E6E" w:rsidP="00011E6E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t>Un himno nacional es una canción o una obra musical, que se considera representativa de un país.</w:t>
      </w:r>
    </w:p>
    <w:p w14:paraId="733E02D9" w14:textId="67C55E9B" w:rsidR="00011E6E" w:rsidRDefault="00011E6E" w:rsidP="00011E6E">
      <w:pPr>
        <w:rPr>
          <w:rFonts w:ascii="Tahoma" w:hAnsi="Tahoma" w:cs="Tahoma"/>
          <w:sz w:val="24"/>
          <w:szCs w:val="24"/>
        </w:rPr>
      </w:pPr>
      <w:r w:rsidRPr="00011E6E">
        <w:rPr>
          <w:rFonts w:ascii="Tahoma" w:hAnsi="Tahoma" w:cs="Tahoma"/>
          <w:sz w:val="24"/>
          <w:szCs w:val="24"/>
        </w:rPr>
        <w:t xml:space="preserve">También en ocasiones puede ser representativo de una comunidad, como en el caso de los países emergentes, que tienen himno </w:t>
      </w:r>
      <w:r w:rsidRPr="00011E6E">
        <w:rPr>
          <w:rFonts w:ascii="Tahoma" w:hAnsi="Tahoma" w:cs="Tahoma"/>
          <w:sz w:val="24"/>
          <w:szCs w:val="24"/>
        </w:rPr>
        <w:t>nacional,</w:t>
      </w:r>
      <w:r w:rsidRPr="00011E6E">
        <w:rPr>
          <w:rFonts w:ascii="Tahoma" w:hAnsi="Tahoma" w:cs="Tahoma"/>
          <w:sz w:val="24"/>
          <w:szCs w:val="24"/>
        </w:rPr>
        <w:t xml:space="preserve"> aunque su </w:t>
      </w:r>
      <w:proofErr w:type="gramStart"/>
      <w:r w:rsidRPr="00011E6E">
        <w:rPr>
          <w:rFonts w:ascii="Tahoma" w:hAnsi="Tahoma" w:cs="Tahoma"/>
          <w:sz w:val="24"/>
          <w:szCs w:val="24"/>
        </w:rPr>
        <w:t>status</w:t>
      </w:r>
      <w:proofErr w:type="gramEnd"/>
      <w:r w:rsidRPr="00011E6E">
        <w:rPr>
          <w:rFonts w:ascii="Tahoma" w:hAnsi="Tahoma" w:cs="Tahoma"/>
          <w:sz w:val="24"/>
          <w:szCs w:val="24"/>
        </w:rPr>
        <w:t xml:space="preserve"> de </w:t>
      </w:r>
      <w:r w:rsidR="00CB22D4" w:rsidRPr="00011E6E">
        <w:rPr>
          <w:rFonts w:ascii="Tahoma" w:hAnsi="Tahoma" w:cs="Tahoma"/>
          <w:sz w:val="24"/>
          <w:szCs w:val="24"/>
        </w:rPr>
        <w:t>país</w:t>
      </w:r>
      <w:r w:rsidRPr="00011E6E">
        <w:rPr>
          <w:rFonts w:ascii="Tahoma" w:hAnsi="Tahoma" w:cs="Tahoma"/>
          <w:sz w:val="24"/>
          <w:szCs w:val="24"/>
        </w:rPr>
        <w:t xml:space="preserve"> no sea formalmente reconocido. En estos casos, se le llama a la obra musical “himno nacional” solo en los lugares que reconozcan al país emergente.</w:t>
      </w:r>
    </w:p>
    <w:p w14:paraId="48DC74E4" w14:textId="3CD28C55" w:rsidR="00011E6E" w:rsidRDefault="00CB22D4" w:rsidP="00011E6E">
      <w:pPr>
        <w:rPr>
          <w:rFonts w:ascii="Tahoma" w:hAnsi="Tahoma" w:cs="Tahoma"/>
          <w:sz w:val="24"/>
          <w:szCs w:val="24"/>
        </w:rPr>
      </w:pPr>
      <w:r w:rsidRPr="00CB22D4">
        <w:rPr>
          <w:rFonts w:ascii="Tahoma" w:hAnsi="Tahoma" w:cs="Tahoma"/>
          <w:sz w:val="24"/>
          <w:szCs w:val="24"/>
        </w:rPr>
        <w:t>Los himnos nacionales tienen diferentes historias acerca de cómo fueron escritos. Muchos son composiciones que nacieron como canciones populares, y luego son reconocidas como himno nacional. Otros son escritos específicamente para servir como himno nacional, en un momento dado.</w:t>
      </w:r>
    </w:p>
    <w:p w14:paraId="46263BDB" w14:textId="7AA587F6" w:rsidR="00AC495F" w:rsidRDefault="00CB22D4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Himno patrio </w:t>
      </w:r>
    </w:p>
    <w:p w14:paraId="3B5DCF05" w14:textId="14C00BB1" w:rsidR="00CB22D4" w:rsidRDefault="00CB22D4" w:rsidP="00AC4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Música de cine </w:t>
      </w:r>
    </w:p>
    <w:p w14:paraId="5B17B329" w14:textId="54983B07" w:rsidR="00CB22D4" w:rsidRPr="00CB22D4" w:rsidRDefault="00CB22D4" w:rsidP="00CB22D4">
      <w:pPr>
        <w:rPr>
          <w:rFonts w:ascii="Tahoma" w:hAnsi="Tahoma" w:cs="Tahoma"/>
          <w:sz w:val="24"/>
          <w:szCs w:val="24"/>
        </w:rPr>
      </w:pPr>
      <w:r w:rsidRPr="00CB22D4">
        <w:rPr>
          <w:rFonts w:ascii="Tahoma" w:hAnsi="Tahoma" w:cs="Tahoma"/>
          <w:sz w:val="24"/>
          <w:szCs w:val="24"/>
        </w:rPr>
        <w:t xml:space="preserve">Desde los inicios del cine, la música ha jugado un papel muy especial e importante dentro de la película. Antes de la llegada del cine con diálogos, la música fue la herramienta </w:t>
      </w:r>
      <w:r w:rsidRPr="00CB22D4">
        <w:rPr>
          <w:rFonts w:ascii="Tahoma" w:hAnsi="Tahoma" w:cs="Tahoma"/>
          <w:sz w:val="24"/>
          <w:szCs w:val="24"/>
        </w:rPr>
        <w:t>más</w:t>
      </w:r>
      <w:r w:rsidRPr="00CB22D4">
        <w:rPr>
          <w:rFonts w:ascii="Tahoma" w:hAnsi="Tahoma" w:cs="Tahoma"/>
          <w:sz w:val="24"/>
          <w:szCs w:val="24"/>
        </w:rPr>
        <w:t xml:space="preserve"> influyente y necesaria para ayudar a la narrativa. En el cine mudo, los métodos para expresar los sentimientos de un personaje eran los cuadros de dialogo, las expresiones los actores y la banda sonora musical, y todos estos en conjunto transmitirían la emoción necesaria de cada momento. Si un personaje debía comunicar un discurso tenso y dramático, una música tensa y dramática seguramente lo acompañaría. El uso del piano o la pianola era fundamental, </w:t>
      </w:r>
      <w:r w:rsidRPr="00CB22D4">
        <w:rPr>
          <w:rFonts w:ascii="Tahoma" w:hAnsi="Tahoma" w:cs="Tahoma"/>
          <w:sz w:val="24"/>
          <w:szCs w:val="24"/>
        </w:rPr>
        <w:t>ya que,</w:t>
      </w:r>
      <w:r w:rsidRPr="00CB22D4">
        <w:rPr>
          <w:rFonts w:ascii="Tahoma" w:hAnsi="Tahoma" w:cs="Tahoma"/>
          <w:sz w:val="24"/>
          <w:szCs w:val="24"/>
        </w:rPr>
        <w:t xml:space="preserve"> al no usarse la voz hablada, estos se convertían en el medio principal para transmitir el mensaje, </w:t>
      </w:r>
      <w:r w:rsidRPr="00CB22D4">
        <w:rPr>
          <w:rFonts w:ascii="Tahoma" w:hAnsi="Tahoma" w:cs="Tahoma"/>
          <w:sz w:val="24"/>
          <w:szCs w:val="24"/>
        </w:rPr>
        <w:t>además</w:t>
      </w:r>
      <w:r w:rsidRPr="00CB22D4">
        <w:rPr>
          <w:rFonts w:ascii="Tahoma" w:hAnsi="Tahoma" w:cs="Tahoma"/>
          <w:sz w:val="24"/>
          <w:szCs w:val="24"/>
        </w:rPr>
        <w:t xml:space="preserve"> de acompañar a la imagen de forma continua a lo largo de la película.</w:t>
      </w:r>
    </w:p>
    <w:p w14:paraId="4DCDC92D" w14:textId="6F1D6B09" w:rsidR="00CB22D4" w:rsidRDefault="00CB22D4" w:rsidP="00CB22D4">
      <w:pPr>
        <w:rPr>
          <w:rFonts w:ascii="Tahoma" w:hAnsi="Tahoma" w:cs="Tahoma"/>
          <w:sz w:val="24"/>
          <w:szCs w:val="24"/>
        </w:rPr>
      </w:pPr>
      <w:r w:rsidRPr="00CB22D4">
        <w:rPr>
          <w:rFonts w:ascii="Tahoma" w:hAnsi="Tahoma" w:cs="Tahoma"/>
          <w:sz w:val="24"/>
          <w:szCs w:val="24"/>
        </w:rPr>
        <w:t xml:space="preserve">Una de las finalidades principales de la banda sonora de una película, es la de transmitir emociones, e implicar emocionalmente al espectador. La música puede influir sobre los sentimientos y las emociones que el espectador experimenta a lo largo de la película, anticipando una situación determinada, como ocurre en la </w:t>
      </w:r>
      <w:r w:rsidRPr="00CB22D4">
        <w:rPr>
          <w:rFonts w:ascii="Tahoma" w:hAnsi="Tahoma" w:cs="Tahoma"/>
          <w:sz w:val="24"/>
          <w:szCs w:val="24"/>
        </w:rPr>
        <w:lastRenderedPageBreak/>
        <w:t>famosa escena de la ducha en la película “Psicosis”, en la que Hitchcock deja ver a través de la música el desenlace de dicha escena.</w:t>
      </w:r>
    </w:p>
    <w:p w14:paraId="56A01CE6" w14:textId="728DD034" w:rsidR="00CB22D4" w:rsidRDefault="00CB22D4" w:rsidP="00CB22D4">
      <w:pPr>
        <w:rPr>
          <w:rFonts w:ascii="Tahoma" w:hAnsi="Tahoma" w:cs="Tahoma"/>
          <w:sz w:val="24"/>
          <w:szCs w:val="24"/>
        </w:rPr>
      </w:pPr>
      <w:r w:rsidRPr="00CB22D4">
        <w:rPr>
          <w:rFonts w:ascii="Tahoma" w:hAnsi="Tahoma" w:cs="Tahoma"/>
          <w:sz w:val="24"/>
          <w:szCs w:val="24"/>
        </w:rPr>
        <w:t>Otra de las funciones esenciales de la música en el cine es que es capaz de ambientar una historia en un tiempo y lugar determinado. Las escenas relacionadas con la Antigüedad, por ejemplo, no cuentan con la misma música que las escenas que suceden en un tiempo moderno.</w:t>
      </w:r>
    </w:p>
    <w:p w14:paraId="457959D2" w14:textId="341F82FA" w:rsidR="00CB22D4" w:rsidRDefault="00CB22D4" w:rsidP="00CB22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Mis gustos musicales </w:t>
      </w:r>
    </w:p>
    <w:p w14:paraId="63C9B18B" w14:textId="77777777" w:rsidR="00CB22D4" w:rsidRDefault="00CB22D4" w:rsidP="00CB22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 variados ya que me gustan diferentes estilos de música</w:t>
      </w:r>
    </w:p>
    <w:p w14:paraId="37F07A8D" w14:textId="5AB37198" w:rsidR="00CB22D4" w:rsidRDefault="00CB22D4" w:rsidP="00CB22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Como lo es la banda, pop, kpop, reguetón, melodía entre otras </w:t>
      </w:r>
    </w:p>
    <w:p w14:paraId="3119C390" w14:textId="77777777" w:rsidR="00CB22D4" w:rsidRPr="00AC495F" w:rsidRDefault="00CB22D4" w:rsidP="00CB22D4">
      <w:pPr>
        <w:rPr>
          <w:rFonts w:ascii="Tahoma" w:hAnsi="Tahoma" w:cs="Tahoma"/>
          <w:sz w:val="24"/>
          <w:szCs w:val="24"/>
        </w:rPr>
      </w:pPr>
    </w:p>
    <w:sectPr w:rsidR="00CB22D4" w:rsidRPr="00AC495F" w:rsidSect="00CB22D4">
      <w:pgSz w:w="12240" w:h="15840"/>
      <w:pgMar w:top="1417" w:right="1701" w:bottom="1417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5F"/>
    <w:rsid w:val="00011E6E"/>
    <w:rsid w:val="00986038"/>
    <w:rsid w:val="00AC495F"/>
    <w:rsid w:val="00CB22D4"/>
    <w:rsid w:val="00E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8874"/>
  <w15:chartTrackingRefBased/>
  <w15:docId w15:val="{D69BFE9E-CE4A-4814-9B64-2A6DA68C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B22D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2D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2021-05-03T17:14:00Z</dcterms:created>
  <dcterms:modified xsi:type="dcterms:W3CDTF">2021-05-03T17:52:00Z</dcterms:modified>
</cp:coreProperties>
</file>