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EC73" w14:textId="77777777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4C1E8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Victoria </w:t>
      </w:r>
      <w:proofErr w:type="spellStart"/>
      <w:r>
        <w:rPr>
          <w:rFonts w:ascii="Arial" w:eastAsia="Arial" w:hAnsi="Arial" w:cs="Arial"/>
          <w:sz w:val="26"/>
          <w:szCs w:val="26"/>
        </w:rPr>
        <w:t>Nataly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López Venegas #8</w:t>
      </w:r>
    </w:p>
    <w:p w14:paraId="0F5499AC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Daniela </w:t>
      </w:r>
      <w:proofErr w:type="spellStart"/>
      <w:r>
        <w:rPr>
          <w:rFonts w:ascii="Arial" w:eastAsia="Arial" w:hAnsi="Arial" w:cs="Arial"/>
          <w:sz w:val="26"/>
          <w:szCs w:val="26"/>
        </w:rPr>
        <w:t>Jaquelin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Ramírez Orejón #14</w:t>
      </w:r>
    </w:p>
    <w:p w14:paraId="523833E9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2D4FAF17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64FCC019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5A7F997E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Comprende la importancia de la expresión y apreciación teatral en la formación docente y su impacto en el desarrollo integral de </w:t>
      </w:r>
      <w:r w:rsidR="00415C93">
        <w:rPr>
          <w:rFonts w:ascii="Arial" w:eastAsia="Arial" w:hAnsi="Arial" w:cs="Arial"/>
          <w:sz w:val="24"/>
          <w:szCs w:val="24"/>
        </w:rPr>
        <w:t>los niños</w:t>
      </w:r>
      <w:r>
        <w:rPr>
          <w:rFonts w:ascii="Arial" w:eastAsia="Arial" w:hAnsi="Arial" w:cs="Arial"/>
          <w:sz w:val="24"/>
          <w:szCs w:val="24"/>
        </w:rPr>
        <w:t xml:space="preserve"> en educación preescolar.</w:t>
      </w:r>
    </w:p>
    <w:p w14:paraId="752ECCC5" w14:textId="5ABD6E54" w:rsidR="00EE7616" w:rsidRDefault="004C1E89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Saltillo, Coahuila.                                                             </w:t>
      </w:r>
      <w:r w:rsidR="007D2687">
        <w:rPr>
          <w:rFonts w:ascii="Arial" w:eastAsia="Arial" w:hAnsi="Arial" w:cs="Arial"/>
          <w:b/>
          <w:sz w:val="24"/>
          <w:szCs w:val="24"/>
        </w:rPr>
        <w:t xml:space="preserve">10 </w:t>
      </w:r>
      <w:r>
        <w:rPr>
          <w:rFonts w:ascii="Arial" w:eastAsia="Arial" w:hAnsi="Arial" w:cs="Arial"/>
          <w:b/>
          <w:sz w:val="24"/>
          <w:szCs w:val="24"/>
        </w:rPr>
        <w:t>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4E83B43B" w:rsidR="00EE7616" w:rsidRPr="00CA30E3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Tamara Lizbeth López Hernández.</w:t>
      </w:r>
    </w:p>
    <w:p w14:paraId="5901256F" w14:textId="2DA61978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7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39D834EF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3° “A”</w:t>
      </w:r>
    </w:p>
    <w:p w14:paraId="0E8A3F07" w14:textId="14C4911E" w:rsidR="00EE7616" w:rsidRPr="00CA30E3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Laura Estela Ramos Cabello.</w:t>
      </w:r>
    </w:p>
    <w:p w14:paraId="68A0A484" w14:textId="251DC344" w:rsidR="00EE7616" w:rsidRDefault="00CA30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Total,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 de alumnos: </w:t>
      </w:r>
      <w:r w:rsidR="004C1E89">
        <w:rPr>
          <w:rFonts w:ascii="Arial" w:eastAsia="Arial" w:hAnsi="Arial" w:cs="Arial"/>
          <w:sz w:val="24"/>
          <w:szCs w:val="24"/>
        </w:rPr>
        <w:t xml:space="preserve"> </w:t>
      </w:r>
      <w:r w:rsidR="007D2687">
        <w:rPr>
          <w:rFonts w:ascii="Arial" w:eastAsia="Arial" w:hAnsi="Arial" w:cs="Arial"/>
          <w:sz w:val="24"/>
          <w:szCs w:val="24"/>
        </w:rPr>
        <w:t>33</w:t>
      </w:r>
      <w:r w:rsidR="00415C93">
        <w:rPr>
          <w:rFonts w:ascii="Arial" w:eastAsia="Arial" w:hAnsi="Arial" w:cs="Arial"/>
          <w:sz w:val="24"/>
          <w:szCs w:val="24"/>
        </w:rPr>
        <w:t xml:space="preserve"> </w:t>
      </w:r>
      <w:r w:rsidR="00415C93" w:rsidRPr="00415C93">
        <w:rPr>
          <w:rFonts w:ascii="Arial" w:eastAsia="Arial" w:hAnsi="Arial" w:cs="Arial"/>
          <w:b/>
          <w:bCs/>
          <w:sz w:val="24"/>
          <w:szCs w:val="24"/>
        </w:rPr>
        <w:t>Niños:</w:t>
      </w:r>
      <w:r w:rsidR="00415C93">
        <w:rPr>
          <w:rFonts w:ascii="Arial" w:eastAsia="Arial" w:hAnsi="Arial" w:cs="Arial"/>
          <w:b/>
          <w:sz w:val="24"/>
          <w:szCs w:val="24"/>
        </w:rPr>
        <w:t xml:space="preserve"> </w:t>
      </w:r>
      <w:r w:rsidR="001D54E7">
        <w:rPr>
          <w:rFonts w:ascii="Arial" w:eastAsia="Arial" w:hAnsi="Arial" w:cs="Arial"/>
          <w:bCs/>
          <w:sz w:val="24"/>
          <w:szCs w:val="24"/>
        </w:rPr>
        <w:t>19</w:t>
      </w:r>
      <w:r w:rsidR="004C1E89">
        <w:rPr>
          <w:rFonts w:ascii="Arial" w:eastAsia="Arial" w:hAnsi="Arial" w:cs="Arial"/>
          <w:sz w:val="24"/>
          <w:szCs w:val="24"/>
        </w:rPr>
        <w:t xml:space="preserve"> 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Niñas: </w:t>
      </w:r>
      <w:r w:rsidR="001D54E7">
        <w:rPr>
          <w:rFonts w:ascii="Arial" w:eastAsia="Arial" w:hAnsi="Arial" w:cs="Arial"/>
          <w:bCs/>
          <w:sz w:val="24"/>
          <w:szCs w:val="24"/>
        </w:rPr>
        <w:t>14</w:t>
      </w:r>
    </w:p>
    <w:p w14:paraId="75D445E6" w14:textId="0744724C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lunes</w:t>
      </w:r>
      <w:r w:rsidRPr="00CA30E3">
        <w:rPr>
          <w:rFonts w:ascii="Arial" w:eastAsia="Arial" w:hAnsi="Arial" w:cs="Arial"/>
          <w:bCs/>
          <w:sz w:val="24"/>
          <w:szCs w:val="24"/>
        </w:rPr>
        <w:t xml:space="preserve"> 10 al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 xml:space="preserve">viernes </w:t>
      </w:r>
      <w:r w:rsidRPr="00CA30E3">
        <w:rPr>
          <w:rFonts w:ascii="Arial" w:eastAsia="Arial" w:hAnsi="Arial" w:cs="Arial"/>
          <w:bCs/>
          <w:sz w:val="24"/>
          <w:szCs w:val="24"/>
        </w:rPr>
        <w:t>21 de mayo de 2021</w:t>
      </w:r>
      <w:r w:rsidR="00CA30E3">
        <w:rPr>
          <w:rFonts w:ascii="Arial" w:eastAsia="Arial" w:hAnsi="Arial" w:cs="Arial"/>
          <w:bCs/>
          <w:sz w:val="24"/>
          <w:szCs w:val="24"/>
        </w:rPr>
        <w:t>.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3D444A12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459E5DE" w14:textId="613EC1CB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F9D6D86" w14:textId="157F9349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A4216AF" w14:textId="346D1622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7F6F908" w14:textId="38BC8A3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340F1F72" w14:textId="7777777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17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547"/>
        <w:gridCol w:w="1571"/>
        <w:gridCol w:w="1701"/>
        <w:gridCol w:w="4111"/>
      </w:tblGrid>
      <w:tr w:rsidR="00EE7616" w14:paraId="0D4413A1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4D9F5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5FFEE7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03B6794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61C84FF0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9149C6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6879C16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BD0C91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0D2AF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2BEF4555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A646A9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14F41588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4ABEA1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E45E583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FB4D319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0E6E4EF" w14:textId="304DC935" w:rsidR="00EE7616" w:rsidRPr="00A9169D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lastRenderedPageBreak/>
        <w:t>Criterios de evaluación</w:t>
      </w:r>
    </w:p>
    <w:p w14:paraId="332CCB73" w14:textId="77777777" w:rsid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2CEF69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4721"/>
        <w:gridCol w:w="2360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466"/>
        <w:gridCol w:w="380"/>
        <w:gridCol w:w="380"/>
        <w:gridCol w:w="380"/>
        <w:gridCol w:w="377"/>
        <w:gridCol w:w="380"/>
        <w:gridCol w:w="642"/>
        <w:gridCol w:w="1560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lastRenderedPageBreak/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818"/>
        <w:gridCol w:w="386"/>
        <w:gridCol w:w="386"/>
        <w:gridCol w:w="386"/>
        <w:gridCol w:w="386"/>
        <w:gridCol w:w="386"/>
        <w:gridCol w:w="900"/>
        <w:gridCol w:w="1286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45E211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A2761F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3E623F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EFD748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7951495A" w14:textId="77777777" w:rsidR="00A9169D" w:rsidRP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1D54E7"/>
    <w:rsid w:val="00415C93"/>
    <w:rsid w:val="004C1E89"/>
    <w:rsid w:val="005D1B11"/>
    <w:rsid w:val="007D2687"/>
    <w:rsid w:val="00A9169D"/>
    <w:rsid w:val="00B223D2"/>
    <w:rsid w:val="00B35CD2"/>
    <w:rsid w:val="00CA086A"/>
    <w:rsid w:val="00CA30E3"/>
    <w:rsid w:val="00EC23AF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Tamara Lopez</cp:lastModifiedBy>
  <cp:revision>4</cp:revision>
  <dcterms:created xsi:type="dcterms:W3CDTF">2021-05-10T21:30:00Z</dcterms:created>
  <dcterms:modified xsi:type="dcterms:W3CDTF">2021-05-10T21:32:00Z</dcterms:modified>
</cp:coreProperties>
</file>