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825B" w14:textId="76E8C48E" w:rsidR="009752BF" w:rsidRDefault="009752BF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19B19FF3" w14:textId="77777777" w:rsidR="009752BF" w:rsidRPr="00C84212" w:rsidRDefault="009752BF" w:rsidP="009752B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4E51DC1B" w14:textId="77777777" w:rsidR="009752BF" w:rsidRPr="00C84212" w:rsidRDefault="009752BF" w:rsidP="009752B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46D6F365" wp14:editId="3F444508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3575E5CE" w14:textId="77777777" w:rsidR="009752BF" w:rsidRPr="00C84212" w:rsidRDefault="009752BF" w:rsidP="009752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FDDC31" w14:textId="77777777" w:rsidR="009752BF" w:rsidRPr="00C84212" w:rsidRDefault="009752BF" w:rsidP="009752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53F4FACC" w14:textId="49BC2B1E" w:rsidR="009752BF" w:rsidRPr="00C84212" w:rsidRDefault="00B35AAB" w:rsidP="009752B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Glosario </w:t>
      </w:r>
    </w:p>
    <w:p w14:paraId="78464A62" w14:textId="6FC72863" w:rsidR="009752BF" w:rsidRPr="00C84212" w:rsidRDefault="009752BF" w:rsidP="009752BF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Forma Espacio y Medida</w:t>
      </w:r>
    </w:p>
    <w:p w14:paraId="4323624E" w14:textId="3DEB59E7" w:rsidR="009752BF" w:rsidRPr="00B35AAB" w:rsidRDefault="009752BF" w:rsidP="00B35AAB">
      <w:pPr>
        <w:pStyle w:val="Ttulo3"/>
        <w:spacing w:before="30" w:beforeAutospacing="0" w:after="30" w:afterAutospacing="0"/>
        <w:ind w:left="60"/>
        <w:jc w:val="center"/>
        <w:rPr>
          <w:b w:val="0"/>
          <w:bCs w:val="0"/>
          <w:color w:val="000000"/>
          <w:sz w:val="32"/>
          <w:szCs w:val="32"/>
        </w:rPr>
      </w:pPr>
      <w:r w:rsidRPr="00B35AAB">
        <w:rPr>
          <w:b w:val="0"/>
          <w:bCs w:val="0"/>
          <w:color w:val="000000"/>
          <w:sz w:val="32"/>
          <w:szCs w:val="32"/>
        </w:rPr>
        <w:t xml:space="preserve">Titular: </w:t>
      </w:r>
      <w:r w:rsidRPr="00B35AAB">
        <w:rPr>
          <w:rFonts w:ascii="Arial" w:eastAsiaTheme="majorEastAsia" w:hAnsi="Arial" w:cs="Arial"/>
          <w:b w:val="0"/>
          <w:bCs w:val="0"/>
          <w:color w:val="000000"/>
          <w:sz w:val="26"/>
          <w:szCs w:val="26"/>
        </w:rPr>
        <w:t> </w:t>
      </w:r>
      <w:hyperlink r:id="rId6" w:history="1"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>O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>ralia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 xml:space="preserve"> G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>abriela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 xml:space="preserve"> P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>almares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 xml:space="preserve"> V</w:t>
        </w:r>
        <w:r w:rsidRPr="00B35AAB">
          <w:rPr>
            <w:rStyle w:val="Hipervnculo"/>
            <w:b w:val="0"/>
            <w:bCs w:val="0"/>
            <w:color w:val="000000"/>
            <w:sz w:val="32"/>
            <w:szCs w:val="32"/>
            <w:u w:val="none"/>
          </w:rPr>
          <w:t>illarreal</w:t>
        </w:r>
      </w:hyperlink>
    </w:p>
    <w:p w14:paraId="19AD4185" w14:textId="3F7F297F" w:rsidR="009752BF" w:rsidRPr="00C84212" w:rsidRDefault="009752BF" w:rsidP="009752BF">
      <w:pPr>
        <w:keepNext/>
        <w:keepLines/>
        <w:spacing w:before="30" w:after="30"/>
        <w:ind w:left="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6B74B02" w14:textId="2793940B" w:rsidR="009752BF" w:rsidRDefault="009752BF" w:rsidP="009752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#18</w:t>
      </w:r>
    </w:p>
    <w:p w14:paraId="63A3239D" w14:textId="0E2C2489" w:rsidR="009752BF" w:rsidRDefault="009752BF" w:rsidP="009752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Garza de Alba Vanessa #7</w:t>
      </w:r>
    </w:p>
    <w:p w14:paraId="4E82663F" w14:textId="3BD88BB0" w:rsidR="009752BF" w:rsidRPr="00C84212" w:rsidRDefault="009752BF" w:rsidP="009752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Saldívar Martínez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Dhanya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Guadalupe #15</w:t>
      </w:r>
    </w:p>
    <w:p w14:paraId="0C5B2571" w14:textId="77777777" w:rsidR="009752BF" w:rsidRPr="00C84212" w:rsidRDefault="009752BF" w:rsidP="009752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1FB81E9E" w14:textId="77777777" w:rsidR="009752BF" w:rsidRPr="00C84212" w:rsidRDefault="009752BF" w:rsidP="009752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757B6092" w14:textId="77777777" w:rsidR="009752BF" w:rsidRPr="00C84212" w:rsidRDefault="009752BF" w:rsidP="009752B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1934C4B1" w14:textId="5ECC4309" w:rsidR="009752BF" w:rsidRDefault="009752BF" w:rsidP="009752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Mayo</w:t>
      </w: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186A7353" w14:textId="77777777" w:rsidR="009752BF" w:rsidRDefault="009752BF" w:rsidP="009752BF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5AC97604" w14:textId="52CF01ED" w:rsidR="009752BF" w:rsidRDefault="009752BF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6A89CDBE" w14:textId="43A6DA66" w:rsidR="00B35AAB" w:rsidRDefault="00B35AAB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731555DD" w14:textId="148C052F" w:rsidR="00B35AAB" w:rsidRDefault="00B35AAB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5AAFA654" w14:textId="1F8CBE95" w:rsidR="00B35AAB" w:rsidRDefault="00B35AAB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75781A57" w14:textId="1B976EFF" w:rsidR="00B35AAB" w:rsidRDefault="00B35AAB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1B89FBFD" w14:textId="77777777" w:rsidR="00B35AAB" w:rsidRDefault="00B35AAB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1C0E97F8" w14:textId="77777777" w:rsidR="009752BF" w:rsidRDefault="009752BF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39A6AD50" w14:textId="64FEBFBD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lastRenderedPageBreak/>
        <w:t>Presentación del tema “revisión de las propiedades del rectángulo, cuadrado y triángulo rectángulo” que aborde los aspectos críticos para su aprendizaje con base en la bibliografía recomendada en la actividad 1.2.1.</w:t>
      </w:r>
    </w:p>
    <w:p w14:paraId="4A53B539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La presentación debe: incluir una relación de los aspectos o puntos críticos para el aprendizaje por parte de los alumnos. También debe incluir introducción al tema, desarrollo del tema, conclusiones y bibliografía o referencias de las fuentes utilizadas.</w:t>
      </w:r>
    </w:p>
    <w:p w14:paraId="085C1969" w14:textId="77777777" w:rsidR="003C0E79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Cada uno de los aspectos se valoran con: 1, baja calidad; 2, calidad media; 3, calidad buena; 4, calidad excelente. Analice diversos materiales didáctico donde se trate la construcción de figuras relacionadas con las propiedades del rectángulo, cuadrado y triángulo rectángulo.</w:t>
      </w:r>
    </w:p>
    <w:p w14:paraId="5047927B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Presentación de una propuesta fundamentada para el uso de alguno de los materiales didácticos analizados.</w:t>
      </w:r>
    </w:p>
    <w:p w14:paraId="64CB6182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Los materiales didácticos cumplen el objetivo de motivar, desencadenar y/o profundizar los aprendizajes deseados. El objetivo se construye gracias a las siguientes funciones:</w:t>
      </w:r>
    </w:p>
    <w:p w14:paraId="6968967C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proporcionar información explícita, clara y fundamentada</w:t>
      </w:r>
    </w:p>
    <w:p w14:paraId="6C620037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guiar los aprendizajes, ayudar a organizar la información, a relacionar, confrontar y construir</w:t>
      </w:r>
    </w:p>
    <w:p w14:paraId="06AF30C6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conocimientos, a reflexionarlos y aplicarlos</w:t>
      </w:r>
    </w:p>
    <w:p w14:paraId="09EED9E6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desarrollar o fortalecer competencias y/o habilidades de diferente tipo: cognitivas, sociales, emocionales</w:t>
      </w:r>
    </w:p>
    <w:p w14:paraId="2B2A0859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motivar, despertar y mantener el interés</w:t>
      </w:r>
    </w:p>
    <w:p w14:paraId="068F163A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favorecer procesos de auto evaluación y/o evaluación, y de realimentación del aprendizaje; f) proporcionar simulaciones que ofrecen entornos para la observación, exploración y la experimentación o solución de problemas, a través de casos o experimentos</w:t>
      </w:r>
    </w:p>
    <w:p w14:paraId="3A546505" w14:textId="77777777" w:rsidR="00F02491" w:rsidRPr="009752BF" w:rsidRDefault="00F02491" w:rsidP="009752BF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brindar entornos para la expresión y creación a través de la actividad del propio estudiante.</w:t>
      </w:r>
    </w:p>
    <w:p w14:paraId="52B44243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El contenido de la propuesta de la presentación del material didáctico se valora de acuerdo con la siguiente escala:</w:t>
      </w:r>
    </w:p>
    <w:p w14:paraId="685EEF2F" w14:textId="77777777" w:rsidR="00F02491" w:rsidRPr="009752BF" w:rsidRDefault="00F02491" w:rsidP="009752B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752BF">
        <w:rPr>
          <w:rFonts w:ascii="Arial" w:hAnsi="Arial" w:cs="Arial"/>
          <w:b/>
          <w:bCs/>
          <w:sz w:val="24"/>
          <w:szCs w:val="24"/>
        </w:rPr>
        <w:lastRenderedPageBreak/>
        <w:t>no cumple con las funciones</w:t>
      </w:r>
    </w:p>
    <w:p w14:paraId="1D0ADF07" w14:textId="77777777" w:rsidR="00F02491" w:rsidRPr="009752BF" w:rsidRDefault="00F02491" w:rsidP="009752B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752BF">
        <w:rPr>
          <w:rFonts w:ascii="Arial" w:hAnsi="Arial" w:cs="Arial"/>
          <w:b/>
          <w:bCs/>
          <w:sz w:val="24"/>
          <w:szCs w:val="24"/>
        </w:rPr>
        <w:t>el cumplimiento de las funciones es pobre</w:t>
      </w:r>
    </w:p>
    <w:p w14:paraId="451ADA2C" w14:textId="77777777" w:rsidR="00F02491" w:rsidRPr="009752BF" w:rsidRDefault="00F02491" w:rsidP="009752B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752BF">
        <w:rPr>
          <w:rFonts w:ascii="Arial" w:hAnsi="Arial" w:cs="Arial"/>
          <w:b/>
          <w:bCs/>
          <w:sz w:val="24"/>
          <w:szCs w:val="24"/>
        </w:rPr>
        <w:t>el cumplimiento de las funciones es bueno</w:t>
      </w:r>
    </w:p>
    <w:p w14:paraId="3230A087" w14:textId="77777777" w:rsidR="00F02491" w:rsidRPr="009752BF" w:rsidRDefault="00F02491" w:rsidP="009752B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b/>
          <w:bCs/>
          <w:sz w:val="24"/>
          <w:szCs w:val="24"/>
        </w:rPr>
        <w:t>el cumplimiento de las funciones es excelente</w:t>
      </w:r>
      <w:r w:rsidRPr="009752BF">
        <w:rPr>
          <w:rFonts w:ascii="Arial" w:hAnsi="Arial" w:cs="Arial"/>
          <w:sz w:val="24"/>
          <w:szCs w:val="24"/>
        </w:rPr>
        <w:t>.</w:t>
      </w:r>
    </w:p>
    <w:p w14:paraId="0E8B2D05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0C4AC15B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2AE87DCD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342EEEBA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07891377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</w:p>
    <w:p w14:paraId="30BC710E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>Analizan los conceptos de Rectángulo y triángulo rectángulo en:</w:t>
      </w:r>
    </w:p>
    <w:p w14:paraId="484A0219" w14:textId="77777777" w:rsidR="00F02491" w:rsidRPr="009752BF" w:rsidRDefault="00F02491" w:rsidP="009752BF">
      <w:pPr>
        <w:spacing w:line="360" w:lineRule="auto"/>
        <w:rPr>
          <w:rFonts w:ascii="Arial" w:hAnsi="Arial" w:cs="Arial"/>
          <w:sz w:val="24"/>
          <w:szCs w:val="24"/>
        </w:rPr>
      </w:pPr>
      <w:r w:rsidRPr="009752BF">
        <w:rPr>
          <w:rFonts w:ascii="Arial" w:hAnsi="Arial" w:cs="Arial"/>
          <w:sz w:val="24"/>
          <w:szCs w:val="24"/>
        </w:rPr>
        <w:t xml:space="preserve"> </w:t>
      </w:r>
      <w:proofErr w:type="spellStart"/>
      <w:r w:rsidRPr="009752BF">
        <w:rPr>
          <w:rFonts w:ascii="Arial" w:hAnsi="Arial" w:cs="Arial"/>
          <w:sz w:val="24"/>
          <w:szCs w:val="24"/>
        </w:rPr>
        <w:t>Isoda</w:t>
      </w:r>
      <w:proofErr w:type="spellEnd"/>
      <w:r w:rsidRPr="009752BF">
        <w:rPr>
          <w:rFonts w:ascii="Arial" w:hAnsi="Arial" w:cs="Arial"/>
          <w:sz w:val="24"/>
          <w:szCs w:val="24"/>
        </w:rPr>
        <w:t>, M. y Cedillo, T. (eds.) (2012), Tomo III, Vol. 2. pp.19-25</w:t>
      </w:r>
    </w:p>
    <w:p w14:paraId="5A3F5505" w14:textId="77777777" w:rsidR="00F02491" w:rsidRPr="009752BF" w:rsidRDefault="00BF00E8" w:rsidP="009752BF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="00F02491" w:rsidRPr="009752BF">
          <w:rPr>
            <w:rStyle w:val="Hipervnculo"/>
            <w:rFonts w:ascii="Arial" w:hAnsi="Arial" w:cs="Arial"/>
            <w:sz w:val="24"/>
            <w:szCs w:val="24"/>
          </w:rPr>
          <w:t>http://escuelanet.mx/escuelas/estefania/Archvios_Mapas/Primaria_2012/Extras/geometria_su_aprendizaje_y_ensenanza_lepri.pdf</w:t>
        </w:r>
      </w:hyperlink>
    </w:p>
    <w:p w14:paraId="4AAD75C9" w14:textId="77777777" w:rsidR="00F02491" w:rsidRPr="00F02491" w:rsidRDefault="00F02491" w:rsidP="00F02491"/>
    <w:sectPr w:rsidR="00F02491" w:rsidRPr="00F02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201"/>
    <w:multiLevelType w:val="hybridMultilevel"/>
    <w:tmpl w:val="6D00383C"/>
    <w:lvl w:ilvl="0" w:tplc="B1A8137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9BA4A3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009653B"/>
    <w:multiLevelType w:val="hybridMultilevel"/>
    <w:tmpl w:val="77AEC4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28C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4434BB"/>
    <w:multiLevelType w:val="hybridMultilevel"/>
    <w:tmpl w:val="2C3C3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B6D91"/>
    <w:multiLevelType w:val="hybridMultilevel"/>
    <w:tmpl w:val="4E022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B12D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6D4134"/>
    <w:multiLevelType w:val="hybridMultilevel"/>
    <w:tmpl w:val="1C96E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91"/>
    <w:rsid w:val="003C0E79"/>
    <w:rsid w:val="009752BF"/>
    <w:rsid w:val="00B35AAB"/>
    <w:rsid w:val="00B633C8"/>
    <w:rsid w:val="00BF00E8"/>
    <w:rsid w:val="00C92510"/>
    <w:rsid w:val="00F0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FFE3"/>
  <w15:chartTrackingRefBased/>
  <w15:docId w15:val="{F1010DB1-9F18-4071-9D21-61F80A3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975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2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249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024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752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cuelanet.mx/escuelas/estefania/Archvios_Mapas/Primaria_2012/Extras/geometria_su_aprendizaje_y_ensenanza_lep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A5319B7451M1BAA6215B0M6&amp;idMateria=6117&amp;idMateria=6117&amp;a=M37&amp;an=ORALIA%20GABRIELA%20PALMARES%20VILLARREA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DEBANHI YOLANDA SUAREZ GARCIA</cp:lastModifiedBy>
  <cp:revision>2</cp:revision>
  <dcterms:created xsi:type="dcterms:W3CDTF">2021-05-05T01:52:00Z</dcterms:created>
  <dcterms:modified xsi:type="dcterms:W3CDTF">2021-05-05T01:52:00Z</dcterms:modified>
</cp:coreProperties>
</file>