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34" w:rsidRPr="00AA22D6" w:rsidRDefault="00663334" w:rsidP="00663334">
      <w:pPr>
        <w:spacing w:line="360" w:lineRule="auto"/>
        <w:jc w:val="center"/>
        <w:rPr>
          <w:rFonts w:ascii="Arial" w:hAnsi="Arial" w:cs="Arial"/>
          <w:sz w:val="24"/>
          <w:szCs w:val="24"/>
        </w:rPr>
      </w:pPr>
      <w:r w:rsidRPr="00AA22D6">
        <w:rPr>
          <w:rFonts w:ascii="Arial" w:hAnsi="Arial" w:cs="Arial"/>
          <w:noProof/>
          <w:sz w:val="24"/>
          <w:szCs w:val="24"/>
          <w:lang w:eastAsia="es-MX"/>
        </w:rPr>
        <w:drawing>
          <wp:inline distT="0" distB="0" distL="0" distR="0" wp14:anchorId="3744EBF2" wp14:editId="6A1C654C">
            <wp:extent cx="1038225" cy="8423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049931" cy="851831"/>
                    </a:xfrm>
                    <a:prstGeom prst="rect">
                      <a:avLst/>
                    </a:prstGeom>
                  </pic:spPr>
                </pic:pic>
              </a:graphicData>
            </a:graphic>
          </wp:inline>
        </w:drawing>
      </w:r>
      <w:r w:rsidRPr="00AA22D6">
        <w:rPr>
          <w:rFonts w:ascii="Arial" w:hAnsi="Arial" w:cs="Arial"/>
          <w:sz w:val="24"/>
          <w:szCs w:val="24"/>
        </w:rPr>
        <w:t>Escuela Normal de Educación Preescolar.</w:t>
      </w:r>
    </w:p>
    <w:p w:rsidR="00663334" w:rsidRPr="00AA22D6" w:rsidRDefault="00663334" w:rsidP="00663334">
      <w:pPr>
        <w:spacing w:line="360" w:lineRule="auto"/>
        <w:jc w:val="center"/>
        <w:rPr>
          <w:rFonts w:ascii="Arial" w:hAnsi="Arial" w:cs="Arial"/>
          <w:sz w:val="24"/>
          <w:szCs w:val="24"/>
        </w:rPr>
      </w:pPr>
      <w:r w:rsidRPr="00AA22D6">
        <w:rPr>
          <w:rFonts w:ascii="Arial" w:hAnsi="Arial" w:cs="Arial"/>
          <w:sz w:val="24"/>
          <w:szCs w:val="24"/>
        </w:rPr>
        <w:t>Curso: Estrategias para la Exploración del Mundo Social.</w:t>
      </w:r>
    </w:p>
    <w:p w:rsidR="00663334" w:rsidRPr="00AA22D6" w:rsidRDefault="00663334" w:rsidP="00663334">
      <w:pPr>
        <w:spacing w:line="360" w:lineRule="auto"/>
        <w:jc w:val="center"/>
        <w:rPr>
          <w:rFonts w:ascii="Arial" w:hAnsi="Arial" w:cs="Arial"/>
          <w:sz w:val="24"/>
          <w:szCs w:val="24"/>
        </w:rPr>
      </w:pPr>
      <w:r w:rsidRPr="00AA22D6">
        <w:rPr>
          <w:rFonts w:ascii="Arial" w:hAnsi="Arial" w:cs="Arial"/>
          <w:sz w:val="24"/>
          <w:szCs w:val="24"/>
        </w:rPr>
        <w:t>Prof. Ramiro García Elías.</w:t>
      </w:r>
    </w:p>
    <w:p w:rsidR="00663334" w:rsidRPr="00AA22D6" w:rsidRDefault="00663334" w:rsidP="00663334">
      <w:pPr>
        <w:spacing w:line="360" w:lineRule="auto"/>
        <w:jc w:val="center"/>
        <w:rPr>
          <w:rFonts w:ascii="Arial" w:hAnsi="Arial" w:cs="Arial"/>
          <w:sz w:val="24"/>
          <w:szCs w:val="24"/>
        </w:rPr>
      </w:pPr>
      <w:r w:rsidRPr="00AA22D6">
        <w:rPr>
          <w:rFonts w:ascii="Arial" w:hAnsi="Arial" w:cs="Arial"/>
          <w:sz w:val="24"/>
          <w:szCs w:val="24"/>
        </w:rPr>
        <w:t>Alumna: Alma Cristina Olvera Rodríguez.</w:t>
      </w:r>
    </w:p>
    <w:p w:rsidR="00663334" w:rsidRPr="00AA22D6" w:rsidRDefault="00663334" w:rsidP="00663334">
      <w:pPr>
        <w:spacing w:line="360" w:lineRule="auto"/>
        <w:jc w:val="center"/>
        <w:rPr>
          <w:rFonts w:ascii="Arial" w:hAnsi="Arial" w:cs="Arial"/>
          <w:sz w:val="24"/>
          <w:szCs w:val="24"/>
        </w:rPr>
      </w:pPr>
      <w:r w:rsidRPr="00AA22D6">
        <w:rPr>
          <w:rFonts w:ascii="Arial" w:hAnsi="Arial" w:cs="Arial"/>
          <w:sz w:val="24"/>
          <w:szCs w:val="24"/>
        </w:rPr>
        <w:t>Grado y Sección: 2 “A” #18</w:t>
      </w:r>
    </w:p>
    <w:p w:rsidR="00663334" w:rsidRDefault="00663334" w:rsidP="00663334">
      <w:pPr>
        <w:spacing w:before="30" w:after="75" w:line="360" w:lineRule="auto"/>
        <w:jc w:val="center"/>
        <w:outlineLvl w:val="0"/>
        <w:rPr>
          <w:rFonts w:ascii="Arial" w:eastAsia="Times New Roman" w:hAnsi="Arial" w:cs="Arial"/>
          <w:bCs/>
          <w:color w:val="000000"/>
          <w:kern w:val="36"/>
          <w:sz w:val="24"/>
          <w:szCs w:val="24"/>
          <w:lang w:eastAsia="es-MX"/>
        </w:rPr>
      </w:pPr>
      <w:r w:rsidRPr="00AA22D6">
        <w:rPr>
          <w:rFonts w:ascii="Arial" w:eastAsia="Times New Roman" w:hAnsi="Arial" w:cs="Arial"/>
          <w:bCs/>
          <w:color w:val="000000"/>
          <w:kern w:val="36"/>
          <w:sz w:val="24"/>
          <w:szCs w:val="24"/>
          <w:lang w:eastAsia="es-MX"/>
        </w:rPr>
        <w:t>UNIDAD DE APRENDIZAJE II. LA FAMILIA: EL PRIMER ESPACIO SOCIAL DE LAS NIÑAS Y NIÑOS DE PREESCOLAR.</w:t>
      </w:r>
    </w:p>
    <w:p w:rsidR="00663334" w:rsidRDefault="00663334" w:rsidP="00663334">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Actividad: Ideas previas. </w:t>
      </w:r>
    </w:p>
    <w:p w:rsidR="00663334" w:rsidRDefault="00663334" w:rsidP="00663334">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Competencias: </w:t>
      </w:r>
    </w:p>
    <w:p w:rsidR="00663334" w:rsidRPr="00FE7615" w:rsidRDefault="00663334" w:rsidP="0066333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Detecta los procesos de aprendizaje de sus alumnos para favorecer su desarrollo cognitivo y socioemocional.</w:t>
      </w:r>
    </w:p>
    <w:p w:rsidR="00663334" w:rsidRPr="00FE7615" w:rsidRDefault="00663334" w:rsidP="0066333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Aplica el plan y programas de estudio para alcanzar los propósitos educativos y contribuir al pleno desenvolvimiento de las capacidades de sus alumnos.</w:t>
      </w:r>
    </w:p>
    <w:p w:rsidR="00663334" w:rsidRPr="00FE7615" w:rsidRDefault="00663334" w:rsidP="0066333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63334" w:rsidRPr="00FE7615" w:rsidRDefault="00663334" w:rsidP="0066333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Emplea la evaluación para intervenir en los diferentes ámbitos y momentos de la tarea educativa para mejorar los aprendizajes de sus alumnos.</w:t>
      </w:r>
    </w:p>
    <w:p w:rsidR="00663334" w:rsidRPr="00FE7615" w:rsidRDefault="00663334" w:rsidP="00663334">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663334" w:rsidRPr="00AA22D6" w:rsidRDefault="00663334" w:rsidP="00663334">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hAnsi="Arial" w:cs="Arial"/>
          <w:color w:val="000000"/>
          <w:sz w:val="24"/>
          <w:szCs w:val="24"/>
        </w:rPr>
        <w:t>Actúa de manera ética ante la diversidad de situaciones que se presentan en la práctica profesional.</w:t>
      </w:r>
    </w:p>
    <w:p w:rsidR="00663334" w:rsidRDefault="00663334" w:rsidP="00663334">
      <w:pPr>
        <w:pStyle w:val="Prrafodelista"/>
        <w:spacing w:after="0" w:line="276" w:lineRule="auto"/>
        <w:ind w:left="1230"/>
        <w:jc w:val="right"/>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 xml:space="preserve"> de Mayo, 2021, Saltillo, Coahuila. </w:t>
      </w:r>
    </w:p>
    <w:p w:rsidR="00663334" w:rsidRDefault="00663334">
      <w:pPr>
        <w:rPr>
          <w:rFonts w:ascii="Arial" w:hAnsi="Arial" w:cs="Arial"/>
          <w:color w:val="000000"/>
          <w:sz w:val="24"/>
          <w:szCs w:val="24"/>
        </w:rPr>
      </w:pPr>
      <w:r>
        <w:rPr>
          <w:rFonts w:ascii="Arial" w:hAnsi="Arial" w:cs="Arial"/>
          <w:color w:val="000000"/>
          <w:sz w:val="24"/>
          <w:szCs w:val="24"/>
        </w:rPr>
        <w:br w:type="page"/>
      </w:r>
    </w:p>
    <w:tbl>
      <w:tblPr>
        <w:tblStyle w:val="Tablaconcuadrcula"/>
        <w:tblW w:w="10916" w:type="dxa"/>
        <w:tblInd w:w="-998" w:type="dxa"/>
        <w:tblLook w:val="04A0" w:firstRow="1" w:lastRow="0" w:firstColumn="1" w:lastColumn="0" w:noHBand="0" w:noVBand="1"/>
      </w:tblPr>
      <w:tblGrid>
        <w:gridCol w:w="1986"/>
        <w:gridCol w:w="6945"/>
        <w:gridCol w:w="993"/>
        <w:gridCol w:w="992"/>
      </w:tblGrid>
      <w:tr w:rsidR="00663334" w:rsidTr="009E3636">
        <w:tc>
          <w:tcPr>
            <w:tcW w:w="10916" w:type="dxa"/>
            <w:gridSpan w:val="4"/>
          </w:tcPr>
          <w:p w:rsidR="00663334" w:rsidRDefault="00663334" w:rsidP="00663334">
            <w:pPr>
              <w:spacing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“Guion de observación”</w:t>
            </w:r>
          </w:p>
        </w:tc>
      </w:tr>
      <w:tr w:rsidR="00663334" w:rsidTr="00F758D4">
        <w:tc>
          <w:tcPr>
            <w:tcW w:w="1986" w:type="dxa"/>
          </w:tcPr>
          <w:p w:rsidR="00663334" w:rsidRDefault="00663334" w:rsidP="00663334">
            <w:pPr>
              <w:spacing w:line="276" w:lineRule="auto"/>
              <w:rPr>
                <w:rFonts w:ascii="Arial" w:eastAsia="Times New Roman" w:hAnsi="Arial" w:cs="Arial"/>
                <w:color w:val="000000"/>
                <w:sz w:val="24"/>
                <w:szCs w:val="24"/>
                <w:lang w:eastAsia="es-MX"/>
              </w:rPr>
            </w:pPr>
          </w:p>
        </w:tc>
        <w:tc>
          <w:tcPr>
            <w:tcW w:w="6945" w:type="dxa"/>
          </w:tcPr>
          <w:p w:rsidR="00663334" w:rsidRDefault="00663334" w:rsidP="00663334">
            <w:pPr>
              <w:spacing w:line="276" w:lineRule="auto"/>
              <w:rPr>
                <w:rFonts w:ascii="Arial" w:eastAsia="Times New Roman" w:hAnsi="Arial" w:cs="Arial"/>
                <w:color w:val="000000"/>
                <w:sz w:val="24"/>
                <w:szCs w:val="24"/>
                <w:lang w:eastAsia="es-MX"/>
              </w:rPr>
            </w:pPr>
          </w:p>
        </w:tc>
        <w:tc>
          <w:tcPr>
            <w:tcW w:w="993" w:type="dxa"/>
          </w:tcPr>
          <w:p w:rsidR="00663334" w:rsidRDefault="00663334" w:rsidP="00663334">
            <w:pPr>
              <w:spacing w:line="276" w:lineRule="auto"/>
              <w:rPr>
                <w:rFonts w:ascii="Arial" w:eastAsia="Times New Roman" w:hAnsi="Arial" w:cs="Arial"/>
                <w:color w:val="000000"/>
                <w:sz w:val="24"/>
                <w:szCs w:val="24"/>
                <w:lang w:eastAsia="es-MX"/>
              </w:rPr>
            </w:pPr>
          </w:p>
        </w:tc>
        <w:tc>
          <w:tcPr>
            <w:tcW w:w="992" w:type="dxa"/>
          </w:tcPr>
          <w:p w:rsidR="00663334" w:rsidRDefault="00663334" w:rsidP="00663334">
            <w:pPr>
              <w:spacing w:line="276" w:lineRule="auto"/>
              <w:rPr>
                <w:rFonts w:ascii="Arial" w:eastAsia="Times New Roman" w:hAnsi="Arial" w:cs="Arial"/>
                <w:color w:val="000000"/>
                <w:sz w:val="24"/>
                <w:szCs w:val="24"/>
                <w:lang w:eastAsia="es-MX"/>
              </w:rPr>
            </w:pPr>
          </w:p>
        </w:tc>
      </w:tr>
      <w:tr w:rsidR="00663334" w:rsidTr="009E3636">
        <w:tc>
          <w:tcPr>
            <w:tcW w:w="10916" w:type="dxa"/>
            <w:gridSpan w:val="4"/>
          </w:tcPr>
          <w:p w:rsidR="00663334" w:rsidRDefault="009E3636" w:rsidP="009E3636">
            <w:pPr>
              <w:spacing w:line="276" w:lineRule="auto"/>
              <w:jc w:val="center"/>
              <w:rPr>
                <w:rFonts w:ascii="Arial" w:eastAsia="Times New Roman" w:hAnsi="Arial" w:cs="Arial"/>
                <w:color w:val="000000"/>
                <w:sz w:val="24"/>
                <w:szCs w:val="24"/>
                <w:lang w:eastAsia="es-MX"/>
              </w:rPr>
            </w:pPr>
            <w:r>
              <w:rPr>
                <w:rFonts w:ascii="Verdana" w:hAnsi="Verdana"/>
                <w:color w:val="000000"/>
              </w:rPr>
              <w:t>Las prácticas de crianza desde la familia de</w:t>
            </w:r>
            <w:r>
              <w:rPr>
                <w:rFonts w:ascii="Verdana" w:hAnsi="Verdana"/>
                <w:color w:val="000000"/>
              </w:rPr>
              <w:t xml:space="preserve"> </w:t>
            </w:r>
            <w:r>
              <w:rPr>
                <w:rFonts w:ascii="Verdana" w:hAnsi="Verdana"/>
                <w:color w:val="000000"/>
              </w:rPr>
              <w:t>los bebés</w:t>
            </w:r>
          </w:p>
        </w:tc>
      </w:tr>
      <w:tr w:rsidR="00F758D4" w:rsidTr="00F758D4">
        <w:tc>
          <w:tcPr>
            <w:tcW w:w="1986" w:type="dxa"/>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baño. </w:t>
            </w:r>
          </w:p>
        </w:tc>
        <w:tc>
          <w:tcPr>
            <w:tcW w:w="8930" w:type="dxa"/>
            <w:gridSpan w:val="3"/>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Son muy diferentes empezando por el habito de bañarse, mientras uno se baña en la regadera con su papa el otro lo limpian con un elote.</w:t>
            </w:r>
          </w:p>
        </w:tc>
      </w:tr>
      <w:tr w:rsidR="00663334" w:rsidTr="00F758D4">
        <w:tc>
          <w:tcPr>
            <w:tcW w:w="1986" w:type="dxa"/>
          </w:tcPr>
          <w:p w:rsidR="0066333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leche. </w:t>
            </w:r>
          </w:p>
        </w:tc>
        <w:tc>
          <w:tcPr>
            <w:tcW w:w="6945" w:type="dxa"/>
          </w:tcPr>
          <w:p w:rsidR="0066333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Uno toma pura leche materna ya que no hay nada más, alguno biberón y otro ya no quiere la leche materna porque está acostumbrado al biberón. </w:t>
            </w:r>
          </w:p>
        </w:tc>
        <w:tc>
          <w:tcPr>
            <w:tcW w:w="993" w:type="dxa"/>
          </w:tcPr>
          <w:p w:rsidR="00663334" w:rsidRDefault="00663334" w:rsidP="00663334">
            <w:pPr>
              <w:spacing w:line="276" w:lineRule="auto"/>
              <w:rPr>
                <w:rFonts w:ascii="Arial" w:eastAsia="Times New Roman" w:hAnsi="Arial" w:cs="Arial"/>
                <w:color w:val="000000"/>
                <w:sz w:val="24"/>
                <w:szCs w:val="24"/>
                <w:lang w:eastAsia="es-MX"/>
              </w:rPr>
            </w:pPr>
          </w:p>
        </w:tc>
        <w:tc>
          <w:tcPr>
            <w:tcW w:w="992" w:type="dxa"/>
          </w:tcPr>
          <w:p w:rsidR="00663334" w:rsidRDefault="00663334" w:rsidP="00663334">
            <w:pPr>
              <w:spacing w:line="276" w:lineRule="auto"/>
              <w:rPr>
                <w:rFonts w:ascii="Arial" w:eastAsia="Times New Roman" w:hAnsi="Arial" w:cs="Arial"/>
                <w:color w:val="000000"/>
                <w:sz w:val="24"/>
                <w:szCs w:val="24"/>
                <w:lang w:eastAsia="es-MX"/>
              </w:rPr>
            </w:pPr>
          </w:p>
        </w:tc>
      </w:tr>
      <w:tr w:rsidR="00F758D4" w:rsidTr="00F758D4">
        <w:tc>
          <w:tcPr>
            <w:tcW w:w="1986" w:type="dxa"/>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Diferencias. </w:t>
            </w:r>
          </w:p>
        </w:tc>
        <w:tc>
          <w:tcPr>
            <w:tcW w:w="6945" w:type="dxa"/>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Sus procesos de interacción son diferentes uno está en total libertad de movimiento, mientras otro solo está en una cama, otro en un columpio para bebes y otro también anda en el campo. </w:t>
            </w:r>
          </w:p>
        </w:tc>
        <w:tc>
          <w:tcPr>
            <w:tcW w:w="993" w:type="dxa"/>
          </w:tcPr>
          <w:p w:rsidR="00F758D4" w:rsidRDefault="00F758D4" w:rsidP="00663334">
            <w:pPr>
              <w:spacing w:line="276" w:lineRule="auto"/>
              <w:rPr>
                <w:rFonts w:ascii="Arial" w:eastAsia="Times New Roman" w:hAnsi="Arial" w:cs="Arial"/>
                <w:color w:val="000000"/>
                <w:sz w:val="24"/>
                <w:szCs w:val="24"/>
                <w:lang w:eastAsia="es-MX"/>
              </w:rPr>
            </w:pPr>
          </w:p>
        </w:tc>
        <w:tc>
          <w:tcPr>
            <w:tcW w:w="992" w:type="dxa"/>
          </w:tcPr>
          <w:p w:rsidR="00F758D4" w:rsidRDefault="00F758D4" w:rsidP="00663334">
            <w:pPr>
              <w:spacing w:line="276" w:lineRule="auto"/>
              <w:rPr>
                <w:rFonts w:ascii="Arial" w:eastAsia="Times New Roman" w:hAnsi="Arial" w:cs="Arial"/>
                <w:color w:val="000000"/>
                <w:sz w:val="24"/>
                <w:szCs w:val="24"/>
                <w:lang w:eastAsia="es-MX"/>
              </w:rPr>
            </w:pPr>
          </w:p>
        </w:tc>
      </w:tr>
      <w:tr w:rsidR="00F758D4" w:rsidTr="00F758D4">
        <w:tc>
          <w:tcPr>
            <w:tcW w:w="1986" w:type="dxa"/>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Similitud. </w:t>
            </w:r>
          </w:p>
        </w:tc>
        <w:tc>
          <w:tcPr>
            <w:tcW w:w="6945" w:type="dxa"/>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Ambos bebes comienzan a gatear al querer obtener objetos que se les cayeron o no alcanzan y comienzan a gatear. </w:t>
            </w:r>
          </w:p>
        </w:tc>
        <w:tc>
          <w:tcPr>
            <w:tcW w:w="993" w:type="dxa"/>
          </w:tcPr>
          <w:p w:rsidR="00F758D4" w:rsidRDefault="00F758D4" w:rsidP="00663334">
            <w:pPr>
              <w:spacing w:line="276" w:lineRule="auto"/>
              <w:rPr>
                <w:rFonts w:ascii="Arial" w:eastAsia="Times New Roman" w:hAnsi="Arial" w:cs="Arial"/>
                <w:color w:val="000000"/>
                <w:sz w:val="24"/>
                <w:szCs w:val="24"/>
                <w:lang w:eastAsia="es-MX"/>
              </w:rPr>
            </w:pPr>
          </w:p>
        </w:tc>
        <w:tc>
          <w:tcPr>
            <w:tcW w:w="992" w:type="dxa"/>
          </w:tcPr>
          <w:p w:rsidR="00F758D4" w:rsidRDefault="00F758D4" w:rsidP="00663334">
            <w:pPr>
              <w:spacing w:line="276" w:lineRule="auto"/>
              <w:rPr>
                <w:rFonts w:ascii="Arial" w:eastAsia="Times New Roman" w:hAnsi="Arial" w:cs="Arial"/>
                <w:color w:val="000000"/>
                <w:sz w:val="24"/>
                <w:szCs w:val="24"/>
                <w:lang w:eastAsia="es-MX"/>
              </w:rPr>
            </w:pPr>
          </w:p>
        </w:tc>
      </w:tr>
      <w:tr w:rsidR="00F758D4" w:rsidTr="00F758D4">
        <w:tc>
          <w:tcPr>
            <w:tcW w:w="1986" w:type="dxa"/>
          </w:tcPr>
          <w:p w:rsidR="00F758D4" w:rsidRDefault="00F758D4" w:rsidP="00663334">
            <w:pPr>
              <w:spacing w:line="276" w:lineRule="auto"/>
              <w:rPr>
                <w:rFonts w:ascii="Arial" w:eastAsia="Times New Roman" w:hAnsi="Arial" w:cs="Arial"/>
                <w:color w:val="000000"/>
                <w:sz w:val="24"/>
                <w:szCs w:val="24"/>
                <w:lang w:eastAsia="es-MX"/>
              </w:rPr>
            </w:pPr>
            <w:r>
              <w:rPr>
                <w:rFonts w:ascii="Verdana" w:hAnsi="Verdana"/>
                <w:color w:val="000000"/>
              </w:rPr>
              <w:t>R</w:t>
            </w:r>
            <w:r>
              <w:rPr>
                <w:rFonts w:ascii="Verdana" w:hAnsi="Verdana"/>
                <w:color w:val="000000"/>
              </w:rPr>
              <w:t>elación afectiva entre los adultos y los bebés</w:t>
            </w:r>
          </w:p>
        </w:tc>
        <w:tc>
          <w:tcPr>
            <w:tcW w:w="6945" w:type="dxa"/>
          </w:tcPr>
          <w:p w:rsidR="00F758D4" w:rsidRDefault="00F758D4"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Todos los bebes son muy apegados a su familia dos con su mama, otro con sus hermanos y otro con la abuelita. </w:t>
            </w:r>
          </w:p>
        </w:tc>
        <w:tc>
          <w:tcPr>
            <w:tcW w:w="993" w:type="dxa"/>
          </w:tcPr>
          <w:p w:rsidR="00F758D4" w:rsidRDefault="00F758D4" w:rsidP="00663334">
            <w:pPr>
              <w:spacing w:line="276" w:lineRule="auto"/>
              <w:rPr>
                <w:rFonts w:ascii="Arial" w:eastAsia="Times New Roman" w:hAnsi="Arial" w:cs="Arial"/>
                <w:color w:val="000000"/>
                <w:sz w:val="24"/>
                <w:szCs w:val="24"/>
                <w:lang w:eastAsia="es-MX"/>
              </w:rPr>
            </w:pPr>
          </w:p>
        </w:tc>
        <w:tc>
          <w:tcPr>
            <w:tcW w:w="992" w:type="dxa"/>
          </w:tcPr>
          <w:p w:rsidR="00F758D4" w:rsidRDefault="00F758D4" w:rsidP="00663334">
            <w:pPr>
              <w:spacing w:line="276" w:lineRule="auto"/>
              <w:rPr>
                <w:rFonts w:ascii="Arial" w:eastAsia="Times New Roman" w:hAnsi="Arial" w:cs="Arial"/>
                <w:color w:val="000000"/>
                <w:sz w:val="24"/>
                <w:szCs w:val="24"/>
                <w:lang w:eastAsia="es-MX"/>
              </w:rPr>
            </w:pPr>
          </w:p>
        </w:tc>
      </w:tr>
      <w:tr w:rsidR="00F758D4" w:rsidTr="00F758D4">
        <w:tc>
          <w:tcPr>
            <w:tcW w:w="1986" w:type="dxa"/>
          </w:tcPr>
          <w:p w:rsidR="00F758D4" w:rsidRDefault="00F758D4" w:rsidP="00663334">
            <w:pPr>
              <w:spacing w:line="276" w:lineRule="auto"/>
              <w:rPr>
                <w:rFonts w:ascii="Verdana" w:hAnsi="Verdana"/>
                <w:color w:val="000000"/>
              </w:rPr>
            </w:pPr>
            <w:r>
              <w:rPr>
                <w:rFonts w:ascii="Verdana" w:hAnsi="Verdana"/>
                <w:color w:val="000000"/>
              </w:rPr>
              <w:t>R</w:t>
            </w:r>
            <w:r>
              <w:rPr>
                <w:rFonts w:ascii="Verdana" w:hAnsi="Verdana"/>
                <w:color w:val="000000"/>
              </w:rPr>
              <w:t>oles que se definen desde edades tempranas</w:t>
            </w:r>
          </w:p>
        </w:tc>
        <w:tc>
          <w:tcPr>
            <w:tcW w:w="6945" w:type="dxa"/>
          </w:tcPr>
          <w:p w:rsidR="00F758D4" w:rsidRDefault="00F758D4" w:rsidP="00663334">
            <w:pPr>
              <w:spacing w:line="276" w:lineRule="auto"/>
              <w:rPr>
                <w:rFonts w:ascii="Arial" w:eastAsia="Times New Roman" w:hAnsi="Arial" w:cs="Arial"/>
                <w:color w:val="000000"/>
                <w:sz w:val="24"/>
                <w:szCs w:val="24"/>
                <w:lang w:eastAsia="es-MX"/>
              </w:rPr>
            </w:pPr>
          </w:p>
        </w:tc>
        <w:tc>
          <w:tcPr>
            <w:tcW w:w="993" w:type="dxa"/>
          </w:tcPr>
          <w:p w:rsidR="00F758D4" w:rsidRDefault="00F758D4" w:rsidP="00663334">
            <w:pPr>
              <w:spacing w:line="276" w:lineRule="auto"/>
              <w:rPr>
                <w:rFonts w:ascii="Arial" w:eastAsia="Times New Roman" w:hAnsi="Arial" w:cs="Arial"/>
                <w:color w:val="000000"/>
                <w:sz w:val="24"/>
                <w:szCs w:val="24"/>
                <w:lang w:eastAsia="es-MX"/>
              </w:rPr>
            </w:pPr>
          </w:p>
        </w:tc>
        <w:tc>
          <w:tcPr>
            <w:tcW w:w="992" w:type="dxa"/>
          </w:tcPr>
          <w:p w:rsidR="00F758D4" w:rsidRDefault="00F758D4" w:rsidP="00663334">
            <w:pPr>
              <w:spacing w:line="276" w:lineRule="auto"/>
              <w:rPr>
                <w:rFonts w:ascii="Arial" w:eastAsia="Times New Roman" w:hAnsi="Arial" w:cs="Arial"/>
                <w:color w:val="000000"/>
                <w:sz w:val="24"/>
                <w:szCs w:val="24"/>
                <w:lang w:eastAsia="es-MX"/>
              </w:rPr>
            </w:pPr>
          </w:p>
        </w:tc>
      </w:tr>
      <w:tr w:rsidR="00F758D4" w:rsidTr="00F758D4">
        <w:tc>
          <w:tcPr>
            <w:tcW w:w="1986" w:type="dxa"/>
          </w:tcPr>
          <w:p w:rsidR="00F758D4" w:rsidRDefault="00F758D4" w:rsidP="00663334">
            <w:pPr>
              <w:spacing w:line="276" w:lineRule="auto"/>
              <w:rPr>
                <w:rFonts w:ascii="Verdana" w:hAnsi="Verdana"/>
                <w:color w:val="000000"/>
              </w:rPr>
            </w:pPr>
            <w:r>
              <w:rPr>
                <w:rFonts w:ascii="Verdana" w:hAnsi="Verdana"/>
                <w:color w:val="000000"/>
              </w:rPr>
              <w:t>Influencia</w:t>
            </w:r>
            <w:r>
              <w:rPr>
                <w:rFonts w:ascii="Verdana" w:hAnsi="Verdana"/>
                <w:color w:val="000000"/>
              </w:rPr>
              <w:t xml:space="preserve"> del contexto familiar y su impacto para la exploración y el mundo social que rodea a los niños</w:t>
            </w:r>
          </w:p>
        </w:tc>
        <w:tc>
          <w:tcPr>
            <w:tcW w:w="6945" w:type="dxa"/>
          </w:tcPr>
          <w:p w:rsidR="00F758D4" w:rsidRDefault="00487913"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contexto es sumamente importante, todos los bebes tenían contextos muy diferentes, uno estaba familiarizado con juguetes de bebes, cosas coloridas, iba de paseo, a clases de canto para bebes, mientras otro solo estaba en contacto con árboles y pasto, otro en el campo viendo algunos animales y 2 de ellos  con un gato. </w:t>
            </w:r>
          </w:p>
        </w:tc>
        <w:tc>
          <w:tcPr>
            <w:tcW w:w="993" w:type="dxa"/>
          </w:tcPr>
          <w:p w:rsidR="00F758D4" w:rsidRDefault="00F758D4" w:rsidP="00663334">
            <w:pPr>
              <w:spacing w:line="276" w:lineRule="auto"/>
              <w:rPr>
                <w:rFonts w:ascii="Arial" w:eastAsia="Times New Roman" w:hAnsi="Arial" w:cs="Arial"/>
                <w:color w:val="000000"/>
                <w:sz w:val="24"/>
                <w:szCs w:val="24"/>
                <w:lang w:eastAsia="es-MX"/>
              </w:rPr>
            </w:pPr>
          </w:p>
        </w:tc>
        <w:tc>
          <w:tcPr>
            <w:tcW w:w="992" w:type="dxa"/>
          </w:tcPr>
          <w:p w:rsidR="00F758D4" w:rsidRDefault="00F758D4" w:rsidP="00663334">
            <w:pPr>
              <w:spacing w:line="276" w:lineRule="auto"/>
              <w:rPr>
                <w:rFonts w:ascii="Arial" w:eastAsia="Times New Roman" w:hAnsi="Arial" w:cs="Arial"/>
                <w:color w:val="000000"/>
                <w:sz w:val="24"/>
                <w:szCs w:val="24"/>
                <w:lang w:eastAsia="es-MX"/>
              </w:rPr>
            </w:pPr>
          </w:p>
        </w:tc>
      </w:tr>
      <w:tr w:rsidR="00487913" w:rsidTr="00F758D4">
        <w:tc>
          <w:tcPr>
            <w:tcW w:w="1986" w:type="dxa"/>
          </w:tcPr>
          <w:p w:rsidR="00487913" w:rsidRDefault="00487913" w:rsidP="00663334">
            <w:pPr>
              <w:spacing w:line="276" w:lineRule="auto"/>
              <w:rPr>
                <w:rFonts w:ascii="Verdana" w:hAnsi="Verdana"/>
                <w:color w:val="000000"/>
              </w:rPr>
            </w:pPr>
            <w:r>
              <w:rPr>
                <w:rFonts w:ascii="Verdana" w:hAnsi="Verdana"/>
                <w:color w:val="000000"/>
              </w:rPr>
              <w:t xml:space="preserve">Interacción con temas escolares. </w:t>
            </w:r>
          </w:p>
        </w:tc>
        <w:tc>
          <w:tcPr>
            <w:tcW w:w="6945" w:type="dxa"/>
          </w:tcPr>
          <w:p w:rsidR="00487913" w:rsidRDefault="00487913" w:rsidP="00663334">
            <w:pPr>
              <w:spacing w:line="276"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Uno de ellos lo llevaban a clases de etapas de los bebes con una maestra, otro estaba en contacto con cuentos infantiles, y los otros 2 no tenían a su alcance nada de esto. </w:t>
            </w:r>
          </w:p>
        </w:tc>
        <w:tc>
          <w:tcPr>
            <w:tcW w:w="993" w:type="dxa"/>
          </w:tcPr>
          <w:p w:rsidR="00487913" w:rsidRDefault="00487913" w:rsidP="00663334">
            <w:pPr>
              <w:spacing w:line="276" w:lineRule="auto"/>
              <w:rPr>
                <w:rFonts w:ascii="Arial" w:eastAsia="Times New Roman" w:hAnsi="Arial" w:cs="Arial"/>
                <w:color w:val="000000"/>
                <w:sz w:val="24"/>
                <w:szCs w:val="24"/>
                <w:lang w:eastAsia="es-MX"/>
              </w:rPr>
            </w:pPr>
          </w:p>
        </w:tc>
        <w:tc>
          <w:tcPr>
            <w:tcW w:w="992" w:type="dxa"/>
          </w:tcPr>
          <w:p w:rsidR="00487913" w:rsidRDefault="00487913" w:rsidP="00663334">
            <w:pPr>
              <w:spacing w:line="276" w:lineRule="auto"/>
              <w:rPr>
                <w:rFonts w:ascii="Arial" w:eastAsia="Times New Roman" w:hAnsi="Arial" w:cs="Arial"/>
                <w:color w:val="000000"/>
                <w:sz w:val="24"/>
                <w:szCs w:val="24"/>
                <w:lang w:eastAsia="es-MX"/>
              </w:rPr>
            </w:pPr>
          </w:p>
        </w:tc>
      </w:tr>
    </w:tbl>
    <w:p w:rsidR="00663334" w:rsidRPr="00663334" w:rsidRDefault="00663334" w:rsidP="00663334">
      <w:pPr>
        <w:spacing w:after="0" w:line="276" w:lineRule="auto"/>
        <w:rPr>
          <w:rFonts w:ascii="Arial" w:eastAsia="Times New Roman" w:hAnsi="Arial" w:cs="Arial"/>
          <w:color w:val="000000"/>
          <w:sz w:val="24"/>
          <w:szCs w:val="24"/>
          <w:lang w:eastAsia="es-MX"/>
        </w:rPr>
      </w:pPr>
    </w:p>
    <w:p w:rsidR="00487913" w:rsidRDefault="00487913"/>
    <w:p w:rsidR="00487913" w:rsidRDefault="00487913">
      <w:r>
        <w:br w:type="page"/>
      </w:r>
    </w:p>
    <w:p w:rsidR="0050404E" w:rsidRDefault="00487913">
      <w:pPr>
        <w:rPr>
          <w:rFonts w:ascii="Arial" w:hAnsi="Arial" w:cs="Arial"/>
          <w:sz w:val="24"/>
          <w:u w:val="single"/>
        </w:rPr>
      </w:pPr>
      <w:r w:rsidRPr="00487913">
        <w:rPr>
          <w:rFonts w:ascii="Arial" w:hAnsi="Arial" w:cs="Arial"/>
          <w:sz w:val="24"/>
          <w:u w:val="single"/>
        </w:rPr>
        <w:lastRenderedPageBreak/>
        <w:t xml:space="preserve">Conclusión: </w:t>
      </w:r>
    </w:p>
    <w:p w:rsidR="00487913" w:rsidRDefault="00487913" w:rsidP="00487913">
      <w:pPr>
        <w:spacing w:line="360" w:lineRule="auto"/>
        <w:rPr>
          <w:rFonts w:ascii="Helvetica" w:hAnsi="Helvetica"/>
          <w:color w:val="333333"/>
          <w:sz w:val="24"/>
          <w:szCs w:val="20"/>
          <w:shd w:val="clear" w:color="auto" w:fill="FFFFFF"/>
        </w:rPr>
      </w:pPr>
      <w:r>
        <w:rPr>
          <w:rFonts w:ascii="Arial" w:hAnsi="Arial" w:cs="Arial"/>
          <w:sz w:val="24"/>
        </w:rPr>
        <w:t xml:space="preserve">Este documental me pareció muy interesante, pude conocer gran diversidad de cultura, gran diversidad de crianza en los bebes, mientras alguno tenía un tapete para sí solo otro no tenía ni pañales, al bebe de estados unidos se bañaba con su papa con una gran regadera mientras al bebe de áfrica su mama lo bañaba con la lengua, también me pareció muy interesante el que un bebe estaba en una tina y un animal va y toma agua de ahí, bien siempre eh tenido en cuenta que no todos los niños tienen las mismas condiciones, pero con este video me permití analizar que desde los primeros meses de vida puede existir gran diferencia en la crianza, en la calidad de vida que reciben los bebes, </w:t>
      </w:r>
      <w:r w:rsidRPr="00487913">
        <w:rPr>
          <w:rFonts w:ascii="Arial" w:hAnsi="Arial" w:cs="Arial"/>
          <w:color w:val="333333"/>
          <w:sz w:val="24"/>
          <w:szCs w:val="20"/>
          <w:shd w:val="clear" w:color="auto" w:fill="FFFFFF"/>
        </w:rPr>
        <w:t>es muy bueno conocer las diferencias que hay entre cada cultura y de ésa manera podemos entender mejor  a</w:t>
      </w:r>
      <w:r w:rsidRPr="00487913">
        <w:rPr>
          <w:rFonts w:ascii="Arial" w:hAnsi="Arial" w:cs="Arial"/>
          <w:color w:val="333333"/>
          <w:sz w:val="24"/>
          <w:szCs w:val="20"/>
          <w:shd w:val="clear" w:color="auto" w:fill="FFFFFF"/>
        </w:rPr>
        <w:t xml:space="preserve"> </w:t>
      </w:r>
      <w:r w:rsidRPr="00487913">
        <w:rPr>
          <w:rFonts w:ascii="Arial" w:hAnsi="Arial" w:cs="Arial"/>
          <w:color w:val="333333"/>
          <w:sz w:val="24"/>
          <w:szCs w:val="20"/>
          <w:shd w:val="clear" w:color="auto" w:fill="FFFFFF"/>
        </w:rPr>
        <w:t>nuestras familias</w:t>
      </w:r>
      <w:r w:rsidR="007F07F0">
        <w:rPr>
          <w:rFonts w:ascii="Helvetica" w:hAnsi="Helvetica"/>
          <w:color w:val="333333"/>
          <w:sz w:val="24"/>
          <w:szCs w:val="20"/>
          <w:shd w:val="clear" w:color="auto" w:fill="FFFFFF"/>
        </w:rPr>
        <w:t>.</w:t>
      </w:r>
    </w:p>
    <w:p w:rsidR="007F07F0" w:rsidRPr="00487913" w:rsidRDefault="007F07F0" w:rsidP="00487913">
      <w:pPr>
        <w:spacing w:line="360" w:lineRule="auto"/>
        <w:rPr>
          <w:rFonts w:ascii="Arial" w:hAnsi="Arial" w:cs="Arial"/>
          <w:sz w:val="24"/>
        </w:rPr>
      </w:pPr>
      <w:r>
        <w:rPr>
          <w:rFonts w:ascii="Helvetica" w:hAnsi="Helvetica"/>
          <w:color w:val="333333"/>
          <w:sz w:val="24"/>
          <w:szCs w:val="20"/>
          <w:shd w:val="clear" w:color="auto" w:fill="FFFFFF"/>
        </w:rPr>
        <w:t xml:space="preserve">Nota: No entendí en gran parte como realizar la guía de observación, espero este bien </w:t>
      </w:r>
      <w:r w:rsidRPr="007F07F0">
        <w:rPr>
          <w:rFonts w:ascii="Helvetica" w:hAnsi="Helvetica"/>
          <w:color w:val="333333"/>
          <w:sz w:val="24"/>
          <w:szCs w:val="20"/>
          <w:shd w:val="clear" w:color="auto" w:fill="FFFFFF"/>
        </w:rPr>
        <w:sym w:font="Wingdings" w:char="F04A"/>
      </w:r>
      <w:bookmarkStart w:id="0" w:name="_GoBack"/>
      <w:bookmarkEnd w:id="0"/>
    </w:p>
    <w:sectPr w:rsidR="007F07F0" w:rsidRPr="00487913" w:rsidSect="00663334">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26D5B"/>
    <w:multiLevelType w:val="hybridMultilevel"/>
    <w:tmpl w:val="D2F0E3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34"/>
    <w:rsid w:val="00487913"/>
    <w:rsid w:val="0050404E"/>
    <w:rsid w:val="00663334"/>
    <w:rsid w:val="007F07F0"/>
    <w:rsid w:val="009E3636"/>
    <w:rsid w:val="00DE4B87"/>
    <w:rsid w:val="00F75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BFF5-6DDD-4A1D-88FC-37B4AA3F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334"/>
    <w:pPr>
      <w:ind w:left="720"/>
      <w:contextualSpacing/>
    </w:pPr>
  </w:style>
  <w:style w:type="table" w:styleId="Tablaconcuadrcula">
    <w:name w:val="Table Grid"/>
    <w:basedOn w:val="Tablanormal"/>
    <w:uiPriority w:val="39"/>
    <w:rsid w:val="00663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2021-05-13T19:18:00Z</dcterms:created>
  <dcterms:modified xsi:type="dcterms:W3CDTF">2021-05-14T00:02:00Z</dcterms:modified>
</cp:coreProperties>
</file>