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E38EA0F" w14:textId="71CCD825" w:rsidR="00F26F6C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número 2.2</w:t>
      </w:r>
      <w:r w:rsidR="00F26F6C" w:rsidRPr="00B67C70">
        <w:rPr>
          <w:b/>
          <w:sz w:val="20"/>
          <w:szCs w:val="20"/>
        </w:rPr>
        <w:t>.</w:t>
      </w:r>
    </w:p>
    <w:p w14:paraId="5A8CE96B" w14:textId="77777777" w:rsidR="00F3376B" w:rsidRPr="00B67C70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38780962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14:paraId="700CB676" w14:textId="57C46975" w:rsidR="00F26F6C" w:rsidRPr="00B67C70" w:rsidRDefault="00F26F6C" w:rsidP="00F26F6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 w:rsidRPr="00B67C70">
        <w:rPr>
          <w:sz w:val="20"/>
          <w:szCs w:val="20"/>
        </w:rPr>
        <w:t xml:space="preserve">Observa los </w:t>
      </w:r>
      <w:r w:rsidR="00F3376B" w:rsidRPr="00B67C70">
        <w:rPr>
          <w:sz w:val="20"/>
          <w:szCs w:val="20"/>
        </w:rPr>
        <w:t>siguientes tres</w:t>
      </w:r>
      <w:r w:rsidR="00742FCE" w:rsidRPr="00B67C70">
        <w:rPr>
          <w:sz w:val="20"/>
          <w:szCs w:val="20"/>
        </w:rPr>
        <w:t xml:space="preserve"> videos</w:t>
      </w:r>
      <w:r w:rsidR="00B67C70">
        <w:rPr>
          <w:sz w:val="20"/>
          <w:szCs w:val="20"/>
        </w:rPr>
        <w:t xml:space="preserve"> siguientes</w:t>
      </w:r>
      <w:r w:rsidR="00742FCE" w:rsidRPr="00B67C70">
        <w:rPr>
          <w:sz w:val="20"/>
          <w:szCs w:val="20"/>
        </w:rPr>
        <w:t xml:space="preserve"> y elabora un </w:t>
      </w:r>
      <w:r w:rsidR="00B67C70" w:rsidRPr="00B67C70">
        <w:rPr>
          <w:sz w:val="20"/>
          <w:szCs w:val="20"/>
        </w:rPr>
        <w:t xml:space="preserve">solo </w:t>
      </w:r>
      <w:r w:rsidR="00742FCE" w:rsidRPr="00B67C70">
        <w:rPr>
          <w:sz w:val="20"/>
          <w:szCs w:val="20"/>
        </w:rPr>
        <w:t>reporte de video</w:t>
      </w:r>
      <w:r w:rsidRPr="00B67C70">
        <w:rPr>
          <w:sz w:val="20"/>
          <w:szCs w:val="20"/>
        </w:rPr>
        <w:t xml:space="preserve"> </w:t>
      </w:r>
      <w:r w:rsidR="00B67C70" w:rsidRPr="00B67C70">
        <w:rPr>
          <w:sz w:val="20"/>
          <w:szCs w:val="20"/>
        </w:rPr>
        <w:t>considerando la información que proporciona cada uno de ellos</w:t>
      </w:r>
      <w:r w:rsidRPr="00B67C70">
        <w:rPr>
          <w:sz w:val="20"/>
          <w:szCs w:val="20"/>
        </w:rPr>
        <w:t>.</w:t>
      </w:r>
    </w:p>
    <w:p w14:paraId="154BB25F" w14:textId="77777777" w:rsidR="00F26F6C" w:rsidRPr="00B67C70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06D626E3" w14:textId="3832FFB6" w:rsidR="00F3376B" w:rsidRPr="000F75B5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Hipervnculo"/>
          <w:rFonts w:eastAsiaTheme="minorHAnsi"/>
          <w:color w:val="000000"/>
          <w:sz w:val="20"/>
          <w:szCs w:val="20"/>
          <w:u w:val="none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Camino a la escuela </w:t>
      </w:r>
      <w:hyperlink r:id="rId5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https://youtu.be/8OHV5zpVpZ0</w:t>
        </w:r>
      </w:hyperlink>
    </w:p>
    <w:p w14:paraId="1788ACDB" w14:textId="3BD3D5E6" w:rsid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7E73DA2F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A pesar de que hoy en día el método de aprendizaje es llevado a cabo por medio de los dispositivos electrónicos como laptops o smartphones, para algunas partes del mundo nada ha cambiado, pues antes para dichas partes el ir a la escuela significaba tomar un camino lleno de riesgos para los alumnos, ya sea entre los montes, ríos o simplemente largas distancias. </w:t>
      </w:r>
    </w:p>
    <w:p w14:paraId="3D864359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2D273FD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Se menciona que no ha cambiado, pues para poder continuar sus estudios con la nueva normalidad de hoy en día, igual necesitan recorrer largas distancias para poder tener acceso a alguna señal de internet o un dispositivo que les permita tomar sus clases.</w:t>
      </w:r>
    </w:p>
    <w:p w14:paraId="3EB895C4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48C19D6A" w14:textId="4A564669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Los métodos que los niños usan para llegar son variados dependiendo de la situación, ya sea montando algún animal para largas distancias, una lancha o bote para cruzar largos ríos o incluso utilizando tirolesas montadas entre los </w:t>
      </w:r>
      <w:proofErr w:type="spellStart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arboles</w:t>
      </w:r>
      <w:proofErr w:type="spellEnd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de los bosques y esto todos lo tienen que pasar todos los días, de ida y vuelta.</w:t>
      </w:r>
    </w:p>
    <w:p w14:paraId="29AC59E9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ED05624" w14:textId="1B2C80C5" w:rsidR="00F3376B" w:rsidRPr="000F75B5" w:rsidRDefault="00F3376B" w:rsidP="002A478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Hipervnculo"/>
          <w:rFonts w:eastAsiaTheme="minorHAnsi"/>
          <w:color w:val="0563C2"/>
          <w:sz w:val="20"/>
          <w:szCs w:val="20"/>
          <w:u w:val="none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El valor de la educación: ayer, hoy y mañana. Conferencia de Joan Manuel del Pozo (Min. 0-9:46) </w:t>
      </w:r>
      <w:hyperlink r:id="rId6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https://youtu.be/oBxcVWrU-w8</w:t>
        </w:r>
      </w:hyperlink>
    </w:p>
    <w:p w14:paraId="69FDDB62" w14:textId="77777777" w:rsid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6EB13F02" w14:textId="7502B581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>
        <w:rPr>
          <w:rFonts w:eastAsiaTheme="minorHAnsi"/>
          <w:sz w:val="20"/>
          <w:szCs w:val="20"/>
          <w:lang w:val="es-MX" w:eastAsia="en-US"/>
        </w:rPr>
        <w:t>El</w:t>
      </w:r>
      <w:r w:rsidRPr="000F75B5">
        <w:rPr>
          <w:rFonts w:eastAsiaTheme="minorHAnsi"/>
          <w:sz w:val="20"/>
          <w:szCs w:val="20"/>
          <w:lang w:val="es-MX" w:eastAsia="en-US"/>
        </w:rPr>
        <w:t xml:space="preserve"> valor de la educación recae en la importancia de la transmisión de conocimientos más la enseñanza de los valores humanos, pues se brinda a los alumnos todo el conocimiento de todas las materias que son llevadas, adicional a esto el maestro </w:t>
      </w:r>
      <w:r w:rsidRPr="000F75B5">
        <w:rPr>
          <w:rFonts w:eastAsiaTheme="minorHAnsi"/>
          <w:sz w:val="20"/>
          <w:szCs w:val="20"/>
          <w:lang w:val="es-MX" w:eastAsia="en-US"/>
        </w:rPr>
        <w:t>le</w:t>
      </w:r>
      <w:r w:rsidRPr="000F75B5">
        <w:rPr>
          <w:rFonts w:eastAsiaTheme="minorHAnsi"/>
          <w:sz w:val="20"/>
          <w:szCs w:val="20"/>
          <w:lang w:val="es-MX" w:eastAsia="en-US"/>
        </w:rPr>
        <w:t xml:space="preserve"> brinda un complemento a su aprendizaje, siendo estos su personalidad, su respeto a los niños, la forma en que los trata, la coherencia de su conducta, la simpatía, entre otros, que influyen en la percepción de los alumnos.</w:t>
      </w:r>
    </w:p>
    <w:p w14:paraId="20CB30C1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2E1A2DDD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 w:rsidRPr="000F75B5">
        <w:rPr>
          <w:rFonts w:eastAsiaTheme="minorHAnsi"/>
          <w:sz w:val="20"/>
          <w:szCs w:val="20"/>
          <w:lang w:val="es-MX" w:eastAsia="en-US"/>
        </w:rPr>
        <w:t xml:space="preserve">Los niños se verán más atraídos por aprender con un maestro simpático, gentil, que lo respeta, a uno que no cuenta con esas características, pues las materias siempre serán las mismas con los mismos contenidos y con esto volvemos al punto importante, la percepción de los alumnos es la clave que brinda la motivación a los niños a seguir adelante con sus estudios. </w:t>
      </w:r>
    </w:p>
    <w:p w14:paraId="3D5E3148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61956142" w14:textId="2D1071C8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 w:rsidRPr="000F75B5">
        <w:rPr>
          <w:rFonts w:eastAsiaTheme="minorHAnsi"/>
          <w:sz w:val="20"/>
          <w:szCs w:val="20"/>
          <w:lang w:val="es-MX" w:eastAsia="en-US"/>
        </w:rPr>
        <w:t xml:space="preserve">Se busca transmitir un estilo de amor pedagógico al niño por medio de los maestros pues de no ser así los alumnos suelen perder el </w:t>
      </w:r>
      <w:r w:rsidRPr="000F75B5">
        <w:rPr>
          <w:rFonts w:eastAsiaTheme="minorHAnsi"/>
          <w:sz w:val="20"/>
          <w:szCs w:val="20"/>
          <w:lang w:val="es-MX" w:eastAsia="en-US"/>
        </w:rPr>
        <w:t>interés</w:t>
      </w:r>
      <w:r w:rsidRPr="000F75B5">
        <w:rPr>
          <w:rFonts w:eastAsiaTheme="minorHAnsi"/>
          <w:sz w:val="20"/>
          <w:szCs w:val="20"/>
          <w:lang w:val="es-MX" w:eastAsia="en-US"/>
        </w:rPr>
        <w:t xml:space="preserve"> en el aprendizaje, para que haya educación debe existir transmisión de emoción amoroso, los alumnos deben de sentirse respetados y queridos cuando menos.</w:t>
      </w:r>
    </w:p>
    <w:p w14:paraId="3AC11378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1C14AB0D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 w:rsidRPr="000F75B5">
        <w:rPr>
          <w:rFonts w:eastAsiaTheme="minorHAnsi"/>
          <w:sz w:val="20"/>
          <w:szCs w:val="20"/>
          <w:lang w:val="es-MX" w:eastAsia="en-US"/>
        </w:rPr>
        <w:t>Para que la educación sea efectiva antes de transmitir conocimiento se deben transmitir las ganas del estudio.</w:t>
      </w:r>
    </w:p>
    <w:p w14:paraId="5FF2DDFF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033B7C65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 w:rsidRPr="000F75B5">
        <w:rPr>
          <w:rFonts w:eastAsiaTheme="minorHAnsi"/>
          <w:sz w:val="20"/>
          <w:szCs w:val="20"/>
          <w:lang w:val="es-MX" w:eastAsia="en-US"/>
        </w:rPr>
        <w:t>Con esto le hacemos ver a los niños su capacidad de recibir conocimientos, o en este caso, valores y producir los valores, dicho en otras palabras, con esto el alumno consigue la capacidad de aprender y de aprender a aprender.</w:t>
      </w:r>
    </w:p>
    <w:p w14:paraId="1C1FF2BB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</w:p>
    <w:p w14:paraId="1554B3F3" w14:textId="10AFA0B8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sz w:val="20"/>
          <w:szCs w:val="20"/>
          <w:lang w:val="es-MX" w:eastAsia="en-US"/>
        </w:rPr>
      </w:pPr>
      <w:r w:rsidRPr="000F75B5">
        <w:rPr>
          <w:rFonts w:eastAsiaTheme="minorHAnsi"/>
          <w:sz w:val="20"/>
          <w:szCs w:val="20"/>
          <w:lang w:val="es-MX" w:eastAsia="en-US"/>
        </w:rPr>
        <w:t>El conocimiento es un valor de la humanidad.</w:t>
      </w:r>
    </w:p>
    <w:p w14:paraId="2238F3AA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p w14:paraId="0D665A19" w14:textId="6AE9DA53" w:rsidR="00F26F6C" w:rsidRPr="000F75B5" w:rsidRDefault="00F3376B" w:rsidP="00F3376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Style w:val="Hipervnculo"/>
          <w:rFonts w:eastAsiaTheme="minorHAnsi"/>
          <w:color w:val="000000"/>
          <w:sz w:val="20"/>
          <w:szCs w:val="20"/>
          <w:u w:val="none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lastRenderedPageBreak/>
        <w:t xml:space="preserve">VIDEO ¿Por qué el sistema educativo es anacrónico? </w:t>
      </w:r>
      <w:hyperlink r:id="rId7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https://youtu.be/2UpLunVDQ40</w:t>
        </w:r>
      </w:hyperlink>
    </w:p>
    <w:p w14:paraId="286985BC" w14:textId="39A64B3F" w:rsid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0BFED827" w14:textId="307B9FD0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La gran mayoría de los sistemas educativos pueden ser considerados como anacrónicos, puesto que se crearon en el pasado para resolver problemas del pasado.</w:t>
      </w: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La educación debe reformarse tomando como base los puntos esenciales de los sistemas, estos objetivos son:</w:t>
      </w:r>
    </w:p>
    <w:p w14:paraId="4AB706DE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6A8F488D" w14:textId="494C3451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Considerar que las expectativas económicas no son las mismas, puesto que se consideraba que al contar con una formación educativa se contaría con un mejor trabajo </w:t>
      </w:r>
      <w:proofErr w:type="gramStart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y</w:t>
      </w:r>
      <w:proofErr w:type="gramEnd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por ende, la economía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sería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buena</w:t>
      </w: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.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Actualmente el mundo se basa en economías de servicios, siendo dominado por los sistemas de información, dejando a la industria como algo obsoleto.</w:t>
      </w:r>
    </w:p>
    <w:p w14:paraId="15DF3FE9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30A39CB2" w14:textId="2535967A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Otro punto para considerar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es la cultura pues se espera que la educación los alumnos puedan comprender el mundo que los rodea y a desarrollar un sentimiento de identidad cultural. El problema viene cuando nos damos cuenta de que el mundo se ha transformado culturalmente hablando, se considera que es más interdependiente o incluso más complejo.</w:t>
      </w:r>
    </w:p>
    <w:p w14:paraId="0FBF2458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32E208FB" w14:textId="2A8E1020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El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último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objetivo es acerca del rubro personal, pues se espera que la educación nos ayude a convertirnos en una mejor versión de nosotros mismos, talentos y destrezas con las que los alumnos cuentan, cosas con las que el sistema educativo actual no cuenta, pues muchos alumnos terminan sus estudios sin descubrir realmente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cuál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es su talento.</w:t>
      </w:r>
    </w:p>
    <w:p w14:paraId="247F43D3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4159C9CC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Los desafíos con los que contamos hoy en día son problemas a los que las personas </w:t>
      </w:r>
      <w:proofErr w:type="gramStart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>nunca antes</w:t>
      </w:r>
      <w:proofErr w:type="gramEnd"/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se habían enfrentado, siendo este el principal motivo del deseo del cambio en el sistema educativo, resaltando la creatividad como punto principal. </w:t>
      </w:r>
    </w:p>
    <w:p w14:paraId="2C9F7047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3BA1890D" w14:textId="4ED4A0D7" w:rsid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Se menciona que es necesario implementar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soluciones creativas y nuevas </w:t>
      </w:r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para lograr generar un cambio </w:t>
      </w:r>
      <w:proofErr w:type="gramStart"/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en 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val="es-MX" w:eastAsia="en-US"/>
        </w:rPr>
        <w:t>las</w:t>
      </w:r>
      <w:proofErr w:type="gramEnd"/>
      <w:r>
        <w:rPr>
          <w:rFonts w:eastAsiaTheme="minorHAnsi"/>
          <w:color w:val="000000"/>
          <w:sz w:val="20"/>
          <w:szCs w:val="20"/>
          <w:lang w:val="es-MX" w:eastAsia="en-US"/>
        </w:rPr>
        <w:t xml:space="preserve"> formas</w:t>
      </w:r>
      <w:r w:rsidRPr="000F75B5">
        <w:rPr>
          <w:rFonts w:eastAsiaTheme="minorHAnsi"/>
          <w:color w:val="000000"/>
          <w:sz w:val="20"/>
          <w:szCs w:val="20"/>
          <w:lang w:val="es-MX" w:eastAsia="en-US"/>
        </w:rPr>
        <w:t xml:space="preserve"> de pensar de los alumnos.</w:t>
      </w:r>
    </w:p>
    <w:p w14:paraId="7DE54B65" w14:textId="77777777" w:rsidR="000F75B5" w:rsidRPr="000F75B5" w:rsidRDefault="000F75B5" w:rsidP="000F75B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14:paraId="4482252C" w14:textId="77777777" w:rsidR="00B67C70" w:rsidRPr="00B67C70" w:rsidRDefault="00B67C70" w:rsidP="00B67C70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8D4AFA" w14:textId="77777777" w:rsidR="00B67C70" w:rsidRPr="00F3376B" w:rsidRDefault="00B67C70" w:rsidP="00B67C70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A84D945" w14:textId="77777777" w:rsidR="00F3376B" w:rsidRPr="00F3376B" w:rsidRDefault="00F3376B" w:rsidP="00F3376B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FDC6DA" w14:textId="77777777" w:rsidR="00F3376B" w:rsidRPr="00F3376B" w:rsidRDefault="00F3376B" w:rsidP="00F3376B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389FC65F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ED288FC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3CD3A56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8E28788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138E12F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A350698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F10FC81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3D1264F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796A0D9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37FF58D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BD74A2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9EE9ADD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4D4BF5E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4201BF1" w14:textId="77777777" w:rsidR="00260211" w:rsidRDefault="0026021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364C958" w14:textId="00BE6B1E" w:rsidR="00677DE9" w:rsidRDefault="007A1F24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</w:t>
      </w:r>
      <w:r w:rsidR="00F3376B" w:rsidRPr="00E91B19">
        <w:rPr>
          <w:b/>
          <w:szCs w:val="20"/>
        </w:rPr>
        <w:t xml:space="preserve">ACTIVIDAD </w:t>
      </w:r>
      <w:r w:rsidR="00F3376B">
        <w:rPr>
          <w:b/>
          <w:szCs w:val="20"/>
        </w:rPr>
        <w:t>2.2.</w:t>
      </w:r>
    </w:p>
    <w:p w14:paraId="1FDC812D" w14:textId="77777777" w:rsidR="00F3376B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F75B5"/>
    <w:rsid w:val="00260211"/>
    <w:rsid w:val="003F0AFF"/>
    <w:rsid w:val="00677DE9"/>
    <w:rsid w:val="00742FCE"/>
    <w:rsid w:val="007704D8"/>
    <w:rsid w:val="007A1F24"/>
    <w:rsid w:val="008A44E3"/>
    <w:rsid w:val="00972888"/>
    <w:rsid w:val="00A6500F"/>
    <w:rsid w:val="00B67C70"/>
    <w:rsid w:val="00E91B19"/>
    <w:rsid w:val="00F26F6C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UpLunVDQ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BxcVWrU-w8" TargetMode="External"/><Relationship Id="rId5" Type="http://schemas.openxmlformats.org/officeDocument/2006/relationships/hyperlink" Target="https://youtu.be/8OHV5zpVpZ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Paola Gutiérez</cp:lastModifiedBy>
  <cp:revision>3</cp:revision>
  <dcterms:created xsi:type="dcterms:W3CDTF">2021-05-17T00:16:00Z</dcterms:created>
  <dcterms:modified xsi:type="dcterms:W3CDTF">2021-05-17T00:17:00Z</dcterms:modified>
</cp:coreProperties>
</file>