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4A43" w:rsidRPr="00567DC4" w:rsidRDefault="0075413E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7260</wp:posOffset>
            </wp:positionH>
            <wp:positionV relativeFrom="paragraph">
              <wp:posOffset>162886</wp:posOffset>
            </wp:positionV>
            <wp:extent cx="1231900" cy="9144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7C6" w:rsidRPr="00567DC4">
        <w:rPr>
          <w:rFonts w:ascii="Arial" w:hAnsi="Arial" w:cs="Arial"/>
          <w:sz w:val="28"/>
          <w:szCs w:val="28"/>
        </w:rPr>
        <w:t xml:space="preserve">ESCUELA NORMAL DE EDUCACIÓN </w:t>
      </w:r>
      <w:r w:rsidR="00E34709" w:rsidRPr="00567DC4">
        <w:rPr>
          <w:rFonts w:ascii="Arial" w:hAnsi="Arial" w:cs="Arial"/>
          <w:sz w:val="28"/>
          <w:szCs w:val="28"/>
        </w:rPr>
        <w:t>PREESCOLAR</w:t>
      </w:r>
    </w:p>
    <w:p w:rsidR="00E34709" w:rsidRPr="00567DC4" w:rsidRDefault="00E34709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sz w:val="28"/>
          <w:szCs w:val="28"/>
        </w:rPr>
        <w:t>Licenciatura en educación preescolar</w:t>
      </w:r>
    </w:p>
    <w:p w:rsidR="00E34709" w:rsidRPr="00567DC4" w:rsidRDefault="00E34709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sz w:val="28"/>
          <w:szCs w:val="28"/>
        </w:rPr>
        <w:t>Ciclo escolar 2020-2021</w:t>
      </w:r>
    </w:p>
    <w:p w:rsidR="00E34709" w:rsidRPr="00567DC4" w:rsidRDefault="00E34709" w:rsidP="00567DC4">
      <w:pPr>
        <w:jc w:val="center"/>
        <w:rPr>
          <w:rFonts w:ascii="Arial" w:hAnsi="Arial" w:cs="Arial"/>
          <w:sz w:val="28"/>
          <w:szCs w:val="28"/>
        </w:rPr>
      </w:pPr>
    </w:p>
    <w:p w:rsidR="00E34709" w:rsidRPr="00567DC4" w:rsidRDefault="00E34709" w:rsidP="00567DC4">
      <w:pPr>
        <w:jc w:val="center"/>
        <w:rPr>
          <w:rFonts w:ascii="Arial" w:hAnsi="Arial" w:cs="Arial"/>
          <w:sz w:val="28"/>
          <w:szCs w:val="28"/>
        </w:rPr>
      </w:pPr>
    </w:p>
    <w:p w:rsidR="00493D49" w:rsidRPr="00567DC4" w:rsidRDefault="00493D49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b/>
          <w:bCs/>
          <w:sz w:val="28"/>
          <w:szCs w:val="28"/>
        </w:rPr>
        <w:t>Grado</w:t>
      </w:r>
      <w:r w:rsidRPr="00567DC4">
        <w:rPr>
          <w:rFonts w:ascii="Arial" w:hAnsi="Arial" w:cs="Arial"/>
          <w:sz w:val="28"/>
          <w:szCs w:val="28"/>
        </w:rPr>
        <w:t xml:space="preserve">: Segundo semestre.         </w:t>
      </w:r>
      <w:r w:rsidRPr="00567DC4">
        <w:rPr>
          <w:rFonts w:ascii="Arial" w:hAnsi="Arial" w:cs="Arial"/>
          <w:b/>
          <w:bCs/>
          <w:sz w:val="28"/>
          <w:szCs w:val="28"/>
        </w:rPr>
        <w:t>Grupo</w:t>
      </w:r>
      <w:r w:rsidRPr="00567DC4">
        <w:rPr>
          <w:rFonts w:ascii="Arial" w:hAnsi="Arial" w:cs="Arial"/>
          <w:sz w:val="28"/>
          <w:szCs w:val="28"/>
        </w:rPr>
        <w:t>: D</w:t>
      </w:r>
    </w:p>
    <w:p w:rsidR="00E34709" w:rsidRPr="00567DC4" w:rsidRDefault="00E34709" w:rsidP="00567DC4">
      <w:pPr>
        <w:jc w:val="center"/>
        <w:rPr>
          <w:rFonts w:ascii="Arial" w:hAnsi="Arial" w:cs="Arial"/>
          <w:sz w:val="28"/>
          <w:szCs w:val="28"/>
        </w:rPr>
      </w:pPr>
    </w:p>
    <w:p w:rsidR="00405D1E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</w:p>
    <w:p w:rsidR="00405D1E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</w:p>
    <w:p w:rsidR="00405D1E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</w:p>
    <w:p w:rsidR="00E34709" w:rsidRPr="00567DC4" w:rsidRDefault="00E34709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b/>
          <w:bCs/>
          <w:sz w:val="28"/>
          <w:szCs w:val="28"/>
        </w:rPr>
        <w:t xml:space="preserve">Curso: </w:t>
      </w:r>
      <w:r w:rsidR="00B26074" w:rsidRPr="00567DC4">
        <w:rPr>
          <w:rFonts w:ascii="Arial" w:hAnsi="Arial" w:cs="Arial"/>
          <w:sz w:val="28"/>
          <w:szCs w:val="28"/>
        </w:rPr>
        <w:t xml:space="preserve">Observación y análisis de prácticas y contextos </w:t>
      </w:r>
      <w:r w:rsidR="00C94F16" w:rsidRPr="00567DC4">
        <w:rPr>
          <w:rFonts w:ascii="Arial" w:hAnsi="Arial" w:cs="Arial"/>
          <w:sz w:val="28"/>
          <w:szCs w:val="28"/>
        </w:rPr>
        <w:t>escolares</w:t>
      </w:r>
    </w:p>
    <w:p w:rsidR="00C94F16" w:rsidRPr="00567DC4" w:rsidRDefault="00C94F16" w:rsidP="00567DC4">
      <w:pPr>
        <w:jc w:val="center"/>
        <w:rPr>
          <w:rFonts w:ascii="Arial" w:hAnsi="Arial" w:cs="Arial"/>
          <w:sz w:val="28"/>
          <w:szCs w:val="28"/>
        </w:rPr>
      </w:pPr>
    </w:p>
    <w:p w:rsidR="00C94F16" w:rsidRPr="00567DC4" w:rsidRDefault="00C94F16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b/>
          <w:bCs/>
          <w:sz w:val="28"/>
          <w:szCs w:val="28"/>
        </w:rPr>
        <w:t xml:space="preserve">Docente: </w:t>
      </w:r>
      <w:r w:rsidR="00493D49" w:rsidRPr="00567DC4">
        <w:rPr>
          <w:rFonts w:ascii="Arial" w:hAnsi="Arial" w:cs="Arial"/>
          <w:sz w:val="28"/>
          <w:szCs w:val="28"/>
        </w:rPr>
        <w:t xml:space="preserve">María Efigenia Maury </w:t>
      </w:r>
      <w:proofErr w:type="spellStart"/>
      <w:r w:rsidR="00493D49" w:rsidRPr="00567DC4">
        <w:rPr>
          <w:rFonts w:ascii="Arial" w:hAnsi="Arial" w:cs="Arial"/>
          <w:sz w:val="28"/>
          <w:szCs w:val="28"/>
        </w:rPr>
        <w:t>Arreondo</w:t>
      </w:r>
      <w:proofErr w:type="spellEnd"/>
    </w:p>
    <w:p w:rsidR="00493D49" w:rsidRPr="00567DC4" w:rsidRDefault="00493D49" w:rsidP="00567DC4">
      <w:pPr>
        <w:jc w:val="center"/>
        <w:rPr>
          <w:rFonts w:ascii="Arial" w:hAnsi="Arial" w:cs="Arial"/>
          <w:sz w:val="28"/>
          <w:szCs w:val="28"/>
        </w:rPr>
      </w:pPr>
    </w:p>
    <w:p w:rsidR="00493D49" w:rsidRPr="00567DC4" w:rsidRDefault="00493D49" w:rsidP="00567DC4">
      <w:pPr>
        <w:jc w:val="center"/>
        <w:rPr>
          <w:rFonts w:ascii="Arial" w:hAnsi="Arial" w:cs="Arial"/>
          <w:sz w:val="28"/>
          <w:szCs w:val="28"/>
        </w:rPr>
      </w:pPr>
    </w:p>
    <w:p w:rsidR="00405D1E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</w:p>
    <w:p w:rsidR="00405D1E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</w:p>
    <w:p w:rsidR="00493D49" w:rsidRPr="00567DC4" w:rsidRDefault="00493D49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b/>
          <w:bCs/>
          <w:sz w:val="28"/>
          <w:szCs w:val="28"/>
        </w:rPr>
        <w:t xml:space="preserve">Alumna: </w:t>
      </w:r>
      <w:r w:rsidRPr="00567DC4">
        <w:rPr>
          <w:rFonts w:ascii="Arial" w:hAnsi="Arial" w:cs="Arial"/>
          <w:sz w:val="28"/>
          <w:szCs w:val="28"/>
        </w:rPr>
        <w:t>Mayra Alejandra Ferrer Flores</w:t>
      </w:r>
    </w:p>
    <w:p w:rsidR="00493D49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b/>
          <w:bCs/>
          <w:sz w:val="28"/>
          <w:szCs w:val="28"/>
        </w:rPr>
        <w:t xml:space="preserve">No. De lista: </w:t>
      </w:r>
      <w:r w:rsidRPr="00567DC4">
        <w:rPr>
          <w:rFonts w:ascii="Arial" w:hAnsi="Arial" w:cs="Arial"/>
          <w:sz w:val="28"/>
          <w:szCs w:val="28"/>
        </w:rPr>
        <w:t>8</w:t>
      </w:r>
    </w:p>
    <w:p w:rsidR="00405D1E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</w:p>
    <w:p w:rsidR="00405D1E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</w:p>
    <w:p w:rsidR="00405D1E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</w:p>
    <w:p w:rsidR="00567DC4" w:rsidRPr="00567DC4" w:rsidRDefault="00405D1E" w:rsidP="00567D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7DC4">
        <w:rPr>
          <w:rFonts w:ascii="Arial" w:hAnsi="Arial" w:cs="Arial"/>
          <w:b/>
          <w:bCs/>
          <w:sz w:val="28"/>
          <w:szCs w:val="28"/>
          <w:highlight w:val="yellow"/>
        </w:rPr>
        <w:t xml:space="preserve">UNIDAD </w:t>
      </w:r>
      <w:r w:rsidR="001E566A" w:rsidRPr="00567DC4">
        <w:rPr>
          <w:rFonts w:ascii="Arial" w:hAnsi="Arial" w:cs="Arial"/>
          <w:b/>
          <w:bCs/>
          <w:sz w:val="28"/>
          <w:szCs w:val="28"/>
          <w:highlight w:val="yellow"/>
        </w:rPr>
        <w:t>II:</w:t>
      </w:r>
    </w:p>
    <w:p w:rsidR="00405D1E" w:rsidRPr="00567DC4" w:rsidRDefault="009864A7" w:rsidP="00567DC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7DC4">
        <w:rPr>
          <w:rFonts w:ascii="Arial" w:hAnsi="Arial" w:cs="Arial"/>
          <w:b/>
          <w:bCs/>
          <w:sz w:val="28"/>
          <w:szCs w:val="28"/>
        </w:rPr>
        <w:t>PRACTICAS Y ESCENARIOS GESTIÓN</w:t>
      </w:r>
    </w:p>
    <w:p w:rsidR="009864A7" w:rsidRPr="00567DC4" w:rsidRDefault="009864A7" w:rsidP="00567DC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9864A7" w:rsidRPr="00567DC4" w:rsidRDefault="009864A7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b/>
          <w:bCs/>
          <w:sz w:val="28"/>
          <w:szCs w:val="28"/>
        </w:rPr>
        <w:t xml:space="preserve">Actividad: </w:t>
      </w:r>
      <w:proofErr w:type="spellStart"/>
      <w:r w:rsidR="00567DC4" w:rsidRPr="00567DC4">
        <w:rPr>
          <w:rFonts w:ascii="Arial" w:hAnsi="Arial" w:cs="Arial"/>
          <w:sz w:val="28"/>
          <w:szCs w:val="28"/>
        </w:rPr>
        <w:t>Resporte</w:t>
      </w:r>
      <w:proofErr w:type="spellEnd"/>
      <w:r w:rsidR="00567DC4" w:rsidRPr="00567DC4">
        <w:rPr>
          <w:rFonts w:ascii="Arial" w:hAnsi="Arial" w:cs="Arial"/>
          <w:sz w:val="28"/>
          <w:szCs w:val="28"/>
        </w:rPr>
        <w:t xml:space="preserve"> de lectura</w:t>
      </w:r>
    </w:p>
    <w:p w:rsidR="00405D1E" w:rsidRPr="00567DC4" w:rsidRDefault="00405D1E" w:rsidP="00567DC4">
      <w:pPr>
        <w:jc w:val="center"/>
        <w:rPr>
          <w:rFonts w:ascii="Arial" w:hAnsi="Arial" w:cs="Arial"/>
          <w:sz w:val="28"/>
          <w:szCs w:val="28"/>
        </w:rPr>
      </w:pPr>
    </w:p>
    <w:p w:rsidR="00493D49" w:rsidRPr="00567DC4" w:rsidRDefault="00493D49" w:rsidP="00567DC4">
      <w:pPr>
        <w:jc w:val="center"/>
        <w:rPr>
          <w:rFonts w:ascii="Arial" w:hAnsi="Arial" w:cs="Arial"/>
          <w:sz w:val="28"/>
          <w:szCs w:val="28"/>
        </w:rPr>
      </w:pPr>
    </w:p>
    <w:p w:rsidR="00493D49" w:rsidRPr="00567DC4" w:rsidRDefault="00493D49" w:rsidP="00567DC4">
      <w:pPr>
        <w:jc w:val="center"/>
        <w:rPr>
          <w:rFonts w:ascii="Arial" w:hAnsi="Arial" w:cs="Arial"/>
          <w:sz w:val="28"/>
          <w:szCs w:val="28"/>
        </w:rPr>
      </w:pPr>
    </w:p>
    <w:p w:rsidR="00567DC4" w:rsidRPr="00567DC4" w:rsidRDefault="00567DC4" w:rsidP="00567DC4">
      <w:pPr>
        <w:jc w:val="center"/>
        <w:rPr>
          <w:rFonts w:ascii="Arial" w:hAnsi="Arial" w:cs="Arial"/>
          <w:sz w:val="28"/>
          <w:szCs w:val="28"/>
        </w:rPr>
      </w:pPr>
    </w:p>
    <w:p w:rsidR="00567DC4" w:rsidRPr="00567DC4" w:rsidRDefault="00567DC4" w:rsidP="00567DC4">
      <w:pPr>
        <w:jc w:val="center"/>
        <w:rPr>
          <w:rFonts w:ascii="Arial" w:hAnsi="Arial" w:cs="Arial"/>
          <w:sz w:val="28"/>
          <w:szCs w:val="28"/>
        </w:rPr>
      </w:pPr>
    </w:p>
    <w:p w:rsidR="00567DC4" w:rsidRPr="00567DC4" w:rsidRDefault="00567DC4" w:rsidP="00567DC4">
      <w:pPr>
        <w:jc w:val="center"/>
        <w:rPr>
          <w:rFonts w:ascii="Arial" w:hAnsi="Arial" w:cs="Arial"/>
          <w:sz w:val="28"/>
          <w:szCs w:val="28"/>
        </w:rPr>
      </w:pPr>
    </w:p>
    <w:p w:rsidR="00567DC4" w:rsidRPr="00567DC4" w:rsidRDefault="00567DC4" w:rsidP="00567DC4">
      <w:pPr>
        <w:jc w:val="center"/>
        <w:rPr>
          <w:rFonts w:ascii="Arial" w:hAnsi="Arial" w:cs="Arial"/>
          <w:sz w:val="28"/>
          <w:szCs w:val="28"/>
        </w:rPr>
      </w:pPr>
    </w:p>
    <w:p w:rsidR="00567DC4" w:rsidRPr="00567DC4" w:rsidRDefault="00567DC4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sz w:val="28"/>
          <w:szCs w:val="28"/>
        </w:rPr>
        <w:t>Saltillo, Coahuila de Zaragoza</w:t>
      </w:r>
    </w:p>
    <w:p w:rsidR="00567DC4" w:rsidRDefault="00567DC4" w:rsidP="00567DC4">
      <w:pPr>
        <w:jc w:val="center"/>
        <w:rPr>
          <w:rFonts w:ascii="Arial" w:hAnsi="Arial" w:cs="Arial"/>
          <w:sz w:val="28"/>
          <w:szCs w:val="28"/>
        </w:rPr>
      </w:pPr>
      <w:r w:rsidRPr="00567DC4">
        <w:rPr>
          <w:rFonts w:ascii="Arial" w:hAnsi="Arial" w:cs="Arial"/>
          <w:sz w:val="28"/>
          <w:szCs w:val="28"/>
        </w:rPr>
        <w:t>Mayo 2021</w:t>
      </w:r>
    </w:p>
    <w:p w:rsidR="00567DC4" w:rsidRDefault="00C341CD" w:rsidP="00C341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Modelo de gestión educativa </w:t>
      </w:r>
    </w:p>
    <w:p w:rsidR="00C341CD" w:rsidRPr="00F72B61" w:rsidRDefault="007B7FE4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Para </w:t>
      </w:r>
      <w:r w:rsidR="006E2C60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introducirnos redactaré que es la gestión educativa, la gestión educativa </w:t>
      </w:r>
      <w:r w:rsidR="00037DF5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es un proceso que nos encamina </w:t>
      </w:r>
      <w:r w:rsidR="00BD49AF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a fomentar </w:t>
      </w:r>
      <w:r w:rsidR="0042265F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los proyectos educativos </w:t>
      </w:r>
      <w:r w:rsidR="00573D6F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en las escuelas </w:t>
      </w:r>
      <w:r w:rsidR="00310721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y también ayuda a promover la autonomía </w:t>
      </w:r>
      <w:r w:rsidR="00934F62" w:rsidRPr="00F72B61">
        <w:rPr>
          <w:rFonts w:ascii="Arial" w:hAnsi="Arial" w:cs="Arial"/>
          <w:color w:val="1A1A1A" w:themeColor="background1" w:themeShade="1A"/>
          <w:sz w:val="24"/>
          <w:szCs w:val="24"/>
        </w:rPr>
        <w:t>escolar</w:t>
      </w:r>
      <w:r w:rsidR="003E4288" w:rsidRPr="00F72B61">
        <w:rPr>
          <w:rFonts w:ascii="Arial" w:hAnsi="Arial" w:cs="Arial"/>
          <w:color w:val="1A1A1A" w:themeColor="background1" w:themeShade="1A"/>
          <w:sz w:val="24"/>
          <w:szCs w:val="24"/>
        </w:rPr>
        <w:t>.</w:t>
      </w:r>
    </w:p>
    <w:p w:rsidR="003E4288" w:rsidRPr="00F72B61" w:rsidRDefault="007C5221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Las dimensiones de una gestión educativa son:</w:t>
      </w:r>
    </w:p>
    <w:p w:rsidR="00BA47EE" w:rsidRPr="00F72B61" w:rsidRDefault="00D9455D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• Pedagógico-Didáctica</w:t>
      </w:r>
    </w:p>
    <w:p w:rsidR="00BA47EE" w:rsidRPr="00F72B61" w:rsidRDefault="00D9455D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• Organizacional </w:t>
      </w:r>
    </w:p>
    <w:p w:rsidR="00BA47EE" w:rsidRPr="00F72B61" w:rsidRDefault="00D9455D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• Comunitaria</w:t>
      </w:r>
    </w:p>
    <w:p w:rsidR="00BA47EE" w:rsidRPr="00F72B61" w:rsidRDefault="00D9455D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• Administrativa</w:t>
      </w:r>
    </w:p>
    <w:p w:rsidR="007A6AD2" w:rsidRPr="00F72B61" w:rsidRDefault="00BA47EE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De</w:t>
      </w:r>
      <w:r w:rsidR="00D9455D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manera particular, la </w:t>
      </w:r>
      <w:r w:rsidR="00D9455D" w:rsidRPr="00F72B61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 xml:space="preserve">dimensión pedagógico-didáctica </w:t>
      </w:r>
      <w:r w:rsidR="00D9455D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se refiere a </w:t>
      </w: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las actividades</w:t>
      </w:r>
      <w:r w:rsidR="00D9455D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propias de la institución educativa que la diferencian de otras y </w:t>
      </w: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que son</w:t>
      </w:r>
      <w:r w:rsidR="00D9455D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caracterizadas por los vínculos que los actores construyen con </w:t>
      </w: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el conocimiento</w:t>
      </w:r>
      <w:r w:rsidR="00D9455D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y los modelos didácticos: las modalidades de enseñanza, las </w:t>
      </w:r>
      <w:r w:rsidR="007A6AD2" w:rsidRPr="00F72B61">
        <w:rPr>
          <w:rFonts w:ascii="Arial" w:hAnsi="Arial" w:cs="Arial"/>
          <w:color w:val="1A1A1A" w:themeColor="background1" w:themeShade="1A"/>
          <w:sz w:val="24"/>
          <w:szCs w:val="24"/>
        </w:rPr>
        <w:t>teorías de</w:t>
      </w:r>
      <w:r w:rsidR="00D9455D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la enseñanza y del aprendizaje que </w:t>
      </w:r>
      <w:r w:rsidR="007A6AD2" w:rsidRPr="00F72B61">
        <w:rPr>
          <w:rFonts w:ascii="Arial" w:hAnsi="Arial" w:cs="Arial"/>
          <w:color w:val="1A1A1A" w:themeColor="background1" w:themeShade="1A"/>
          <w:sz w:val="24"/>
          <w:szCs w:val="24"/>
        </w:rPr>
        <w:t>subyace</w:t>
      </w:r>
      <w:r w:rsidR="00D9455D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a las prácticas docentes, el </w:t>
      </w:r>
      <w:r w:rsidR="007A6AD2" w:rsidRPr="00F72B61">
        <w:rPr>
          <w:rFonts w:ascii="Arial" w:hAnsi="Arial" w:cs="Arial"/>
          <w:color w:val="1A1A1A" w:themeColor="background1" w:themeShade="1A"/>
          <w:sz w:val="24"/>
          <w:szCs w:val="24"/>
        </w:rPr>
        <w:t>valor y</w:t>
      </w:r>
      <w:r w:rsidR="00D9455D"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significado otorgado a los saberes, los criterios de evaluación de los procesos </w:t>
      </w:r>
      <w:r w:rsidR="007A6AD2" w:rsidRPr="00F72B61">
        <w:rPr>
          <w:rFonts w:ascii="Arial" w:hAnsi="Arial" w:cs="Arial"/>
          <w:color w:val="1A1A1A" w:themeColor="background1" w:themeShade="1A"/>
          <w:sz w:val="24"/>
          <w:szCs w:val="24"/>
        </w:rPr>
        <w:t>y resultados.</w:t>
      </w:r>
    </w:p>
    <w:p w:rsidR="00DD5780" w:rsidRPr="00F72B61" w:rsidRDefault="00DD5780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:rsidR="00600071" w:rsidRPr="00F72B61" w:rsidRDefault="00600071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La </w:t>
      </w:r>
      <w:r w:rsidRPr="00F72B61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>dimensión organizacional</w:t>
      </w: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. Los profesores y directivos, así como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losestudiantes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y los padres de familia, desarrollan su actividad educativa en el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marcode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una organización, juntos con otros compañeros, bajo ciertas normas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yexigencias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institucionales, y no en la falacia de una campana de cristal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comopodría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ser el salón de clases. Esta dimensión ofrece un marco para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lasistematización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y análisis de las acciones referidas a aquellos aspectos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deestructura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que en cada centro educativo dan cuenta de un estilo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defuncionamiento</w:t>
      </w:r>
      <w:proofErr w:type="spellEnd"/>
    </w:p>
    <w:p w:rsidR="00DD5780" w:rsidRPr="00F72B61" w:rsidRDefault="00DD5780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:rsidR="00C33649" w:rsidRPr="00F72B61" w:rsidRDefault="00C33649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Por</w:t>
      </w:r>
      <w:r w:rsidRPr="00F72B61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 xml:space="preserve"> dimensión comunitaria</w:t>
      </w: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se entiende como el conjunto de actividades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quepromueven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la participación de los diferentes actores en la toma de decisiones y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enlas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actividades de cada centro. Se incluye también el modo o las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perspectivasculturales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en que cada institución considera las demandas, las exigencias y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losproblemas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que recibe de su entorno (vínculos entre escuela y </w:t>
      </w: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lastRenderedPageBreak/>
        <w:t xml:space="preserve">comunidad:demandas, exigencias y problemas; participación: niveles, formas,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obstáculoslímites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, organización; reglas de convivencia). </w:t>
      </w:r>
    </w:p>
    <w:p w:rsidR="00600071" w:rsidRPr="00F72B61" w:rsidRDefault="00600071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:rsidR="00DD5780" w:rsidRPr="00F72B61" w:rsidRDefault="00DD5780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la </w:t>
      </w:r>
      <w:r w:rsidRPr="00F72B61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 xml:space="preserve">dimensión administrativa </w:t>
      </w: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se analizan las acciones de gobierno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queincluyen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 estrategias de manejo de recursos humanos, financieros y </w:t>
      </w:r>
      <w:proofErr w:type="spellStart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tiemposrequeridos</w:t>
      </w:r>
      <w:proofErr w:type="spellEnd"/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, así como el manejo de la información significativa que, tanto desde el plano retrospectivo como desde el prospectivo, contribuya con la toma de decisiones .</w:t>
      </w:r>
    </w:p>
    <w:p w:rsidR="00DD5780" w:rsidRPr="00F72B61" w:rsidRDefault="00DD5780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:rsidR="00A670AE" w:rsidRPr="00F72B61" w:rsidRDefault="00A670AE" w:rsidP="008A46FF">
      <w:pPr>
        <w:spacing w:line="360" w:lineRule="auto"/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>Función y rol directivo</w:t>
      </w:r>
    </w:p>
    <w:p w:rsidR="00877C06" w:rsidRPr="00877C06" w:rsidRDefault="00877C06" w:rsidP="008A46FF">
      <w:pPr>
        <w:spacing w:line="360" w:lineRule="auto"/>
        <w:divId w:val="1010721975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877C06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Los roles </w:t>
      </w:r>
      <w:r w:rsidRPr="00877C06"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>directivos</w:t>
      </w:r>
      <w:r w:rsidRPr="00877C06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 comprenden tareas como: Desarrollar e implementar la misión de la organización. Velar por el mantenimiento de la visión de la empresa. Transmitir las metas y objetivos de la compañía a las personas.</w:t>
      </w:r>
    </w:p>
    <w:p w:rsidR="007C5221" w:rsidRPr="00F72B61" w:rsidRDefault="007C5221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:rsidR="00411EC8" w:rsidRPr="00F72B61" w:rsidRDefault="00182A6E" w:rsidP="008A46FF">
      <w:pPr>
        <w:spacing w:line="360" w:lineRule="auto"/>
        <w:divId w:val="2126804335"/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La función de estos son </w:t>
      </w:r>
      <w:r w:rsidR="004B750F"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ayudar a ejercer el liderazgo, a crear un buen ambiente de trabajo y a facilitar la gestión del talento humano, algo que en la sociedad del conocimiento es fundamental. Los </w:t>
      </w:r>
      <w:r w:rsidR="004B750F" w:rsidRPr="00F72B61"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</w:rPr>
        <w:t>directivos</w:t>
      </w:r>
      <w:r w:rsidR="004B750F"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 de las empresas deben no sólo planificar, organizar, coordinar, dirigir y supervisar, sino también transmitir sus conocimientos.</w:t>
      </w:r>
    </w:p>
    <w:p w:rsidR="00F257EE" w:rsidRPr="00F72B61" w:rsidRDefault="00F257EE" w:rsidP="008A46FF">
      <w:pPr>
        <w:spacing w:line="360" w:lineRule="auto"/>
        <w:divId w:val="2126804335"/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  <w:shd w:val="clear" w:color="auto" w:fill="FFFFFF"/>
        </w:rPr>
      </w:pPr>
    </w:p>
    <w:p w:rsidR="00E00C34" w:rsidRPr="00F72B61" w:rsidRDefault="00E00C34" w:rsidP="008A46FF">
      <w:pPr>
        <w:spacing w:line="360" w:lineRule="auto"/>
        <w:divId w:val="1393385108"/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</w:pPr>
      <w:r w:rsidRPr="00E00C34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El término organización escolar hace referencia a las normas, procedimiento administrativo y sistema de control necesarios para su funcionamiento y que denominamos escuela, como a la disciplina académica cuyo objeto de estudio son las escuela</w:t>
      </w: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s.</w:t>
      </w:r>
    </w:p>
    <w:p w:rsidR="00E00C34" w:rsidRPr="00E00C34" w:rsidRDefault="00E00C34" w:rsidP="008A46FF">
      <w:pPr>
        <w:spacing w:line="360" w:lineRule="auto"/>
        <w:divId w:val="1393385108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</w:p>
    <w:p w:rsidR="00A36808" w:rsidRPr="00F72B61" w:rsidRDefault="00A36808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L a escuela necesita contar con espacios que faciliten la enseñanza y el aprendizaje; por ende, la infraestructura escolar cumple un rol importante en el desarrollo de estos procesos. La infraestructura escolar está compuesta por todos los elementos que configuran el espacio físico</w:t>
      </w:r>
    </w:p>
    <w:p w:rsidR="00493D49" w:rsidRPr="00F72B61" w:rsidRDefault="00A36808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>donde se desarrollan los procesos de enseñanza-aprendizaje</w:t>
      </w:r>
    </w:p>
    <w:p w:rsidR="00F06561" w:rsidRPr="00F72B61" w:rsidRDefault="00F06561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t xml:space="preserve">acceso a servicios básicos como agua, desagüe, energía eléctrica y limpieza contribuye al bienestar de la comunidad educativa. Asimismo, instalaciones como </w:t>
      </w:r>
      <w:r w:rsidRPr="00F72B61">
        <w:rPr>
          <w:rFonts w:ascii="Arial" w:hAnsi="Arial" w:cs="Arial"/>
          <w:color w:val="1A1A1A" w:themeColor="background1" w:themeShade="1A"/>
          <w:sz w:val="24"/>
          <w:szCs w:val="24"/>
        </w:rPr>
        <w:lastRenderedPageBreak/>
        <w:t>bibliotecas, losas deportivas y laboratorios permiten a los docentes contar con mayores recursos pedagógicos. Por otro lado, la disponibilidad de espacios como la sala de profesores favorece la planificación y el trabajo docente colegiado. Además, disponer de mobiliario escolar suficiente y apropiado permite desarrollar las actividades de aprendizaje en ambientes cómodos que facilitan el involucramiento de los estudiantes durante las sesiones de clase</w:t>
      </w:r>
    </w:p>
    <w:p w:rsidR="00F06561" w:rsidRPr="00F72B61" w:rsidRDefault="00F06561" w:rsidP="008A46FF">
      <w:pPr>
        <w:spacing w:line="360" w:lineRule="auto"/>
        <w:rPr>
          <w:rFonts w:ascii="Arial" w:hAnsi="Arial" w:cs="Arial"/>
          <w:color w:val="1A1A1A" w:themeColor="background1" w:themeShade="1A"/>
          <w:sz w:val="24"/>
          <w:szCs w:val="24"/>
        </w:rPr>
      </w:pPr>
    </w:p>
    <w:p w:rsidR="004F2106" w:rsidRPr="00F72B61" w:rsidRDefault="004F2106" w:rsidP="008A46FF">
      <w:pPr>
        <w:spacing w:line="360" w:lineRule="auto"/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</w:pPr>
      <w:r w:rsidRPr="00F72B61">
        <w:rPr>
          <w:rFonts w:ascii="Arial" w:hAnsi="Arial" w:cs="Arial"/>
          <w:b/>
          <w:bCs/>
          <w:color w:val="1A1A1A" w:themeColor="background1" w:themeShade="1A"/>
          <w:sz w:val="24"/>
          <w:szCs w:val="24"/>
        </w:rPr>
        <w:t xml:space="preserve">Cultura institucional </w:t>
      </w:r>
    </w:p>
    <w:p w:rsidR="00464078" w:rsidRPr="00F72B61" w:rsidRDefault="00082E9C" w:rsidP="008A46FF">
      <w:p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</w:pPr>
      <w:r w:rsidRPr="00082E9C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La cultura institucional se refiere a los valores y prácticas que orientan y dan sentido al quehacer de las instituciones, por ello es fundamental promover una cultura de respeto a los derechos humanos y con perspectiva de género, a fin de que se genere un entorno laboral sano, libre de violencia y sin discriminación de ningún tipo, con igualdad de oportunidades y derechos para todos y toda</w:t>
      </w: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s.</w:t>
      </w:r>
    </w:p>
    <w:p w:rsidR="00464078" w:rsidRPr="00F72B61" w:rsidRDefault="00464078" w:rsidP="008A46FF">
      <w:p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</w:pPr>
    </w:p>
    <w:p w:rsidR="00744E0D" w:rsidRPr="00F72B61" w:rsidRDefault="00464078" w:rsidP="008A46FF">
      <w:p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</w:pPr>
      <w:r w:rsidRPr="00F72B61">
        <w:rPr>
          <w:rFonts w:ascii="Arial" w:eastAsia="Times New Roman" w:hAnsi="Arial" w:cs="Arial"/>
          <w:b/>
          <w:bCs/>
          <w:color w:val="1A1A1A" w:themeColor="background1" w:themeShade="1A"/>
          <w:sz w:val="24"/>
          <w:szCs w:val="24"/>
          <w:shd w:val="clear" w:color="auto" w:fill="FFFFFF"/>
        </w:rPr>
        <w:t xml:space="preserve">Aciertos y dificultades de la gestión </w:t>
      </w:r>
      <w:r w:rsidR="00744E0D"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de escolar</w:t>
      </w:r>
    </w:p>
    <w:p w:rsidR="00744E0D" w:rsidRPr="00F72B61" w:rsidRDefault="00744E0D" w:rsidP="008A46FF">
      <w:p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 xml:space="preserve">Algunos problemas que se enfrentan pueden ser </w:t>
      </w:r>
    </w:p>
    <w:p w:rsidR="0096634C" w:rsidRPr="00F72B61" w:rsidRDefault="0096634C" w:rsidP="008A46FF">
      <w:pPr>
        <w:pStyle w:val="Prrafodelista"/>
        <w:numPr>
          <w:ilvl w:val="0"/>
          <w:numId w:val="2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 xml:space="preserve">Que los docentes no estén preparados para trabajar en contextos vulnerables </w:t>
      </w:r>
    </w:p>
    <w:p w:rsidR="007176B5" w:rsidRPr="00F72B61" w:rsidRDefault="007176B5" w:rsidP="008A46FF">
      <w:pPr>
        <w:pStyle w:val="Prrafodelista"/>
        <w:numPr>
          <w:ilvl w:val="0"/>
          <w:numId w:val="2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El alto nivel de inestabilidad laboral del docente</w:t>
      </w:r>
    </w:p>
    <w:p w:rsidR="00F951DA" w:rsidRPr="00F72B61" w:rsidRDefault="00F951DA" w:rsidP="008A46FF">
      <w:pPr>
        <w:pStyle w:val="Prrafodelista"/>
        <w:numPr>
          <w:ilvl w:val="0"/>
          <w:numId w:val="2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Las prácticas del aula están obsoletas</w:t>
      </w:r>
    </w:p>
    <w:p w:rsidR="005A666D" w:rsidRPr="00F72B61" w:rsidRDefault="005A666D" w:rsidP="008A46FF">
      <w:pPr>
        <w:pStyle w:val="Prrafodelista"/>
        <w:numPr>
          <w:ilvl w:val="0"/>
          <w:numId w:val="2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 xml:space="preserve">Las familias que son muy ausentes </w:t>
      </w:r>
    </w:p>
    <w:p w:rsidR="000E725B" w:rsidRPr="00F72B61" w:rsidRDefault="000E725B" w:rsidP="008A46FF">
      <w:pPr>
        <w:pStyle w:val="Prrafodelista"/>
        <w:numPr>
          <w:ilvl w:val="0"/>
          <w:numId w:val="2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Que los alumnos tengan un bajo nivel de motivación</w:t>
      </w:r>
    </w:p>
    <w:p w:rsidR="004712F4" w:rsidRPr="00F72B61" w:rsidRDefault="004712F4" w:rsidP="008A46FF">
      <w:pPr>
        <w:pStyle w:val="Prrafodelista"/>
        <w:numPr>
          <w:ilvl w:val="0"/>
          <w:numId w:val="2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Baja asistencia a clases</w:t>
      </w:r>
    </w:p>
    <w:p w:rsidR="00013BFE" w:rsidRPr="00F72B61" w:rsidRDefault="00013BFE" w:rsidP="008A46FF">
      <w:pPr>
        <w:pStyle w:val="Prrafodelista"/>
        <w:numPr>
          <w:ilvl w:val="0"/>
          <w:numId w:val="2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Falta de cultura o material para clases.</w:t>
      </w:r>
    </w:p>
    <w:p w:rsidR="00013BFE" w:rsidRPr="00F72B61" w:rsidRDefault="00013BFE" w:rsidP="008A46FF">
      <w:p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</w:pPr>
    </w:p>
    <w:p w:rsidR="008A46FF" w:rsidRPr="00F72B61" w:rsidRDefault="00013BFE" w:rsidP="008A46FF">
      <w:p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 xml:space="preserve">Y unos aciertos podrían ser </w:t>
      </w:r>
    </w:p>
    <w:p w:rsidR="008A46FF" w:rsidRPr="00F72B61" w:rsidRDefault="008A46FF" w:rsidP="008A46FF">
      <w:pPr>
        <w:pStyle w:val="Prrafodelista"/>
        <w:numPr>
          <w:ilvl w:val="0"/>
          <w:numId w:val="3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La organización correcta</w:t>
      </w:r>
    </w:p>
    <w:p w:rsidR="008A46FF" w:rsidRPr="00F72B61" w:rsidRDefault="008A46FF" w:rsidP="008A46FF">
      <w:pPr>
        <w:pStyle w:val="Prrafodelista"/>
        <w:numPr>
          <w:ilvl w:val="0"/>
          <w:numId w:val="3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Una buena planeación</w:t>
      </w:r>
    </w:p>
    <w:p w:rsidR="00082E9C" w:rsidRPr="00F72B61" w:rsidRDefault="008A46FF" w:rsidP="008A46FF">
      <w:pPr>
        <w:pStyle w:val="Prrafodelista"/>
        <w:numPr>
          <w:ilvl w:val="0"/>
          <w:numId w:val="3"/>
        </w:numPr>
        <w:spacing w:line="360" w:lineRule="auto"/>
        <w:divId w:val="1124232653"/>
        <w:rPr>
          <w:rFonts w:ascii="Arial" w:eastAsia="Times New Roman" w:hAnsi="Arial" w:cs="Arial"/>
          <w:color w:val="1A1A1A" w:themeColor="background1" w:themeShade="1A"/>
          <w:sz w:val="24"/>
          <w:szCs w:val="24"/>
        </w:rPr>
      </w:pPr>
      <w:r w:rsidRPr="00F72B61">
        <w:rPr>
          <w:rFonts w:ascii="Arial" w:eastAsia="Times New Roman" w:hAnsi="Arial" w:cs="Arial"/>
          <w:color w:val="1A1A1A" w:themeColor="background1" w:themeShade="1A"/>
          <w:sz w:val="24"/>
          <w:szCs w:val="24"/>
          <w:shd w:val="clear" w:color="auto" w:fill="FFFFFF"/>
        </w:rPr>
        <w:t>Tiempos acertados para la enseñanza</w:t>
      </w:r>
    </w:p>
    <w:p w:rsidR="004F2106" w:rsidRPr="004F2106" w:rsidRDefault="004F2106" w:rsidP="00600071"/>
    <w:sectPr w:rsidR="004F2106" w:rsidRPr="004F21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13B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07945"/>
    <w:multiLevelType w:val="hybridMultilevel"/>
    <w:tmpl w:val="18246B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E6755"/>
    <w:multiLevelType w:val="hybridMultilevel"/>
    <w:tmpl w:val="D2F6B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43"/>
    <w:rsid w:val="00013BFE"/>
    <w:rsid w:val="00037DF5"/>
    <w:rsid w:val="00082E9C"/>
    <w:rsid w:val="000E725B"/>
    <w:rsid w:val="00182A6E"/>
    <w:rsid w:val="001B153F"/>
    <w:rsid w:val="001E566A"/>
    <w:rsid w:val="002249F0"/>
    <w:rsid w:val="002E4A43"/>
    <w:rsid w:val="00310721"/>
    <w:rsid w:val="003E4288"/>
    <w:rsid w:val="00405D1E"/>
    <w:rsid w:val="00411EC8"/>
    <w:rsid w:val="0042265F"/>
    <w:rsid w:val="00464078"/>
    <w:rsid w:val="004712F4"/>
    <w:rsid w:val="00493D49"/>
    <w:rsid w:val="004B750F"/>
    <w:rsid w:val="004F2106"/>
    <w:rsid w:val="00567DC4"/>
    <w:rsid w:val="00573D6F"/>
    <w:rsid w:val="005A666D"/>
    <w:rsid w:val="00600071"/>
    <w:rsid w:val="006E2C60"/>
    <w:rsid w:val="007176B5"/>
    <w:rsid w:val="00744E0D"/>
    <w:rsid w:val="0075413E"/>
    <w:rsid w:val="007A6AD2"/>
    <w:rsid w:val="007B7FE4"/>
    <w:rsid w:val="007C5221"/>
    <w:rsid w:val="00877C06"/>
    <w:rsid w:val="008A46FF"/>
    <w:rsid w:val="00934F62"/>
    <w:rsid w:val="0096634C"/>
    <w:rsid w:val="009864A7"/>
    <w:rsid w:val="00A36808"/>
    <w:rsid w:val="00A670AE"/>
    <w:rsid w:val="00B26074"/>
    <w:rsid w:val="00BA47EE"/>
    <w:rsid w:val="00BD49AF"/>
    <w:rsid w:val="00C33649"/>
    <w:rsid w:val="00C341CD"/>
    <w:rsid w:val="00C94F16"/>
    <w:rsid w:val="00D9455D"/>
    <w:rsid w:val="00DD5780"/>
    <w:rsid w:val="00E00C34"/>
    <w:rsid w:val="00E157C6"/>
    <w:rsid w:val="00E34709"/>
    <w:rsid w:val="00F06561"/>
    <w:rsid w:val="00F257EE"/>
    <w:rsid w:val="00F72B61"/>
    <w:rsid w:val="00F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14934"/>
  <w15:chartTrackingRefBased/>
  <w15:docId w15:val="{1A8F57EE-E1EA-0841-B9CC-3A4E188A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33649"/>
  </w:style>
  <w:style w:type="character" w:styleId="Hipervnculo">
    <w:name w:val="Hyperlink"/>
    <w:basedOn w:val="Fuentedeprrafopredeter"/>
    <w:uiPriority w:val="99"/>
    <w:semiHidden/>
    <w:unhideWhenUsed/>
    <w:rsid w:val="00DD57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4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FERRER FLORES</dc:creator>
  <cp:keywords/>
  <dc:description/>
  <cp:lastModifiedBy>MAYRA ALEJANDRA FERRER FLORES</cp:lastModifiedBy>
  <cp:revision>2</cp:revision>
  <dcterms:created xsi:type="dcterms:W3CDTF">2021-05-19T04:58:00Z</dcterms:created>
  <dcterms:modified xsi:type="dcterms:W3CDTF">2021-05-19T04:58:00Z</dcterms:modified>
</cp:coreProperties>
</file>