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5DAB4" w14:textId="275D561E" w:rsidR="00297062" w:rsidRDefault="00D04C9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9BF8C6" wp14:editId="149307F9">
                <wp:simplePos x="0" y="0"/>
                <wp:positionH relativeFrom="margin">
                  <wp:posOffset>3249976</wp:posOffset>
                </wp:positionH>
                <wp:positionV relativeFrom="paragraph">
                  <wp:posOffset>3029639</wp:posOffset>
                </wp:positionV>
                <wp:extent cx="4054207" cy="363557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207" cy="363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D584A" w14:textId="77777777" w:rsidR="00D04C91" w:rsidRDefault="00D04C91" w:rsidP="00D04C91">
                            <w:r>
                              <w:t xml:space="preserve">MAESTRA. </w:t>
                            </w:r>
                            <w:r w:rsidRPr="00BB20E1">
                              <w:t>MARIA EFIGENIA MAURY ARREDONDO</w:t>
                            </w:r>
                          </w:p>
                          <w:p w14:paraId="1C96379E" w14:textId="1D75BC6F" w:rsidR="00D04C91" w:rsidRPr="00BB20E1" w:rsidRDefault="00D04C91" w:rsidP="00D04C91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BF8C6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255.9pt;margin-top:238.55pt;width:319.25pt;height:28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" filled="f" stroked="f" strokeweight=".5pt">
                <v:textbox>
                  <w:txbxContent>
                    <w:p w14:paraId="5E1D584A" w14:textId="77777777" w:rsidR="00D04C91" w:rsidRDefault="00D04C91" w:rsidP="00D04C91">
                      <w:r>
                        <w:t xml:space="preserve">MAESTRA. </w:t>
                      </w:r>
                      <w:r w:rsidRPr="00BB20E1">
                        <w:t>MARIA EFIGENIA MAURY ARREDONDO</w:t>
                      </w:r>
                    </w:p>
                    <w:p w14:paraId="1C96379E" w14:textId="1D75BC6F" w:rsidR="00D04C91" w:rsidRPr="00BB20E1" w:rsidRDefault="00D04C91" w:rsidP="00D04C91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0F0034" wp14:editId="7CF4A02D">
                <wp:simplePos x="0" y="0"/>
                <wp:positionH relativeFrom="margin">
                  <wp:posOffset>3271290</wp:posOffset>
                </wp:positionH>
                <wp:positionV relativeFrom="paragraph">
                  <wp:posOffset>440055</wp:posOffset>
                </wp:positionV>
                <wp:extent cx="3438525" cy="2908453"/>
                <wp:effectExtent l="0" t="0" r="0" b="63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908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4EF49" w14:textId="42ADC5B2" w:rsidR="00D04C91" w:rsidRPr="00D04C91" w:rsidRDefault="00D04C91" w:rsidP="00D04C91">
                            <w:pPr>
                              <w:rPr>
                                <w:rFonts w:ascii="Avenir Next LT Pro Light" w:hAnsi="Avenir Next LT Pro Light"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D04C91">
                              <w:rPr>
                                <w:rFonts w:ascii="Avenir Next LT Pro Light" w:hAnsi="Avenir Next LT Pro Light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ESCUELA NORMAL </w:t>
                            </w:r>
                            <w:r w:rsidRPr="00D04C91">
                              <w:rPr>
                                <w:rFonts w:ascii="Avenir Next LT Pro Light" w:hAnsi="Avenir Next LT Pro Light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ESCUELA NORMAL DE </w:t>
                            </w:r>
                            <w:r w:rsidRPr="00D04C91">
                              <w:rPr>
                                <w:rFonts w:ascii="Avenir Next LT Pro Light" w:hAnsi="Avenir Next LT Pro Light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EDUCACIÓN PREESCOLAR </w:t>
                            </w:r>
                          </w:p>
                          <w:p w14:paraId="5A2C99D6" w14:textId="77777777" w:rsidR="00D04C91" w:rsidRPr="00D04C91" w:rsidRDefault="00D04C91" w:rsidP="00D04C91">
                            <w:pPr>
                              <w:rPr>
                                <w:rFonts w:ascii="Avenir Next LT Pro Light" w:hAnsi="Avenir Next LT Pro Light"/>
                                <w:color w:val="C45911" w:themeColor="accent2" w:themeShade="BF"/>
                                <w:sz w:val="30"/>
                                <w:szCs w:val="30"/>
                              </w:rPr>
                            </w:pPr>
                            <w:r w:rsidRPr="00D04C91">
                              <w:rPr>
                                <w:rFonts w:ascii="Avenir Next LT Pro Light" w:hAnsi="Avenir Next LT Pro Light"/>
                                <w:color w:val="C45911" w:themeColor="accent2" w:themeShade="BF"/>
                                <w:sz w:val="30"/>
                                <w:szCs w:val="30"/>
                              </w:rPr>
                              <w:t>LIC. EDUCACIÓN PREESCOLAR</w:t>
                            </w:r>
                          </w:p>
                          <w:p w14:paraId="7C168A2B" w14:textId="77777777" w:rsidR="00D04C91" w:rsidRPr="00D04C91" w:rsidRDefault="00D04C91" w:rsidP="00D04C91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F0034" id="Cuadro de texto 10" o:spid="_x0000_s1027" type="#_x0000_t202" style="position:absolute;margin-left:257.6pt;margin-top:34.65pt;width:270.75pt;height:22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" filled="f" stroked="f" strokeweight=".5pt">
                <v:textbox>
                  <w:txbxContent>
                    <w:p w14:paraId="4C14EF49" w14:textId="42ADC5B2" w:rsidR="00D04C91" w:rsidRPr="00D04C91" w:rsidRDefault="00D04C91" w:rsidP="00D04C91">
                      <w:pPr>
                        <w:rPr>
                          <w:rFonts w:ascii="Avenir Next LT Pro Light" w:hAnsi="Avenir Next LT Pro Light"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D04C91">
                        <w:rPr>
                          <w:rFonts w:ascii="Avenir Next LT Pro Light" w:hAnsi="Avenir Next LT Pro Light"/>
                          <w:color w:val="C45911" w:themeColor="accent2" w:themeShade="BF"/>
                          <w:sz w:val="40"/>
                          <w:szCs w:val="40"/>
                        </w:rPr>
                        <w:t xml:space="preserve">ESCUELA NORMAL </w:t>
                      </w:r>
                      <w:r w:rsidRPr="00D04C91">
                        <w:rPr>
                          <w:rFonts w:ascii="Avenir Next LT Pro Light" w:hAnsi="Avenir Next LT Pro Light"/>
                          <w:color w:val="C45911" w:themeColor="accent2" w:themeShade="BF"/>
                          <w:sz w:val="40"/>
                          <w:szCs w:val="40"/>
                        </w:rPr>
                        <w:t xml:space="preserve">ESCUELA NORMAL DE </w:t>
                      </w:r>
                      <w:r w:rsidRPr="00D04C91">
                        <w:rPr>
                          <w:rFonts w:ascii="Avenir Next LT Pro Light" w:hAnsi="Avenir Next LT Pro Light"/>
                          <w:color w:val="C45911" w:themeColor="accent2" w:themeShade="BF"/>
                          <w:sz w:val="40"/>
                          <w:szCs w:val="40"/>
                        </w:rPr>
                        <w:t xml:space="preserve">EDUCACIÓN PREESCOLAR </w:t>
                      </w:r>
                    </w:p>
                    <w:p w14:paraId="5A2C99D6" w14:textId="77777777" w:rsidR="00D04C91" w:rsidRPr="00D04C91" w:rsidRDefault="00D04C91" w:rsidP="00D04C91">
                      <w:pPr>
                        <w:rPr>
                          <w:rFonts w:ascii="Avenir Next LT Pro Light" w:hAnsi="Avenir Next LT Pro Light"/>
                          <w:color w:val="C45911" w:themeColor="accent2" w:themeShade="BF"/>
                          <w:sz w:val="30"/>
                          <w:szCs w:val="30"/>
                        </w:rPr>
                      </w:pPr>
                      <w:r w:rsidRPr="00D04C91">
                        <w:rPr>
                          <w:rFonts w:ascii="Avenir Next LT Pro Light" w:hAnsi="Avenir Next LT Pro Light"/>
                          <w:color w:val="C45911" w:themeColor="accent2" w:themeShade="BF"/>
                          <w:sz w:val="30"/>
                          <w:szCs w:val="30"/>
                        </w:rPr>
                        <w:t>LIC. EDUCACIÓN PREESCOLAR</w:t>
                      </w:r>
                    </w:p>
                    <w:p w14:paraId="7C168A2B" w14:textId="77777777" w:rsidR="00D04C91" w:rsidRPr="00D04C91" w:rsidRDefault="00D04C91" w:rsidP="00D04C91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28328" wp14:editId="432508EC">
                <wp:simplePos x="0" y="0"/>
                <wp:positionH relativeFrom="page">
                  <wp:align>right</wp:align>
                </wp:positionH>
                <wp:positionV relativeFrom="page">
                  <wp:posOffset>1145754</wp:posOffset>
                </wp:positionV>
                <wp:extent cx="7535538" cy="3840480"/>
                <wp:effectExtent l="0" t="0" r="8890" b="0"/>
                <wp:wrapNone/>
                <wp:docPr id="138" name="Cuadro de tex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5538" cy="384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Borders>
                                <w:insideV w:val="single" w:sz="12" w:space="0" w:color="ED7D31" w:themeColor="accent2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97"/>
                              <w:gridCol w:w="5774"/>
                            </w:tblGrid>
                            <w:tr w:rsidR="00D04C91" w14:paraId="413FC01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568" w:type="pct"/>
                                  <w:vAlign w:val="center"/>
                                </w:tcPr>
                                <w:p w14:paraId="4BE7951D" w14:textId="77777777" w:rsidR="00D04C91" w:rsidRDefault="00D04C91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546675" wp14:editId="598BFF76">
                                        <wp:extent cx="3065006" cy="2569857"/>
                                        <wp:effectExtent l="0" t="0" r="2540" b="1905"/>
                                        <wp:docPr id="139" name="Imagen 1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9" name="Imagen 139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65006" cy="25698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sdt>
                                  <w:sdtPr>
                                    <w:rPr>
                                      <w:caps/>
                                      <w:color w:val="191919" w:themeColor="text1" w:themeTint="E6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43837963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0E505EB1" w14:textId="239DA230" w:rsidR="00D04C91" w:rsidRDefault="00D04C91">
                                      <w:pPr>
                                        <w:pStyle w:val="Sinespaciado"/>
                                        <w:spacing w:line="312" w:lineRule="auto"/>
                                        <w:jc w:val="right"/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t>gestión educativa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alias w:val="Subtítulo"/>
                                    <w:tag w:val=""/>
                                    <w:id w:val="135407256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3C4D6805" w14:textId="1ACA6DA8" w:rsidR="00D04C91" w:rsidRDefault="00D04C91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REPORTE DE LECTURA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2432" w:type="pct"/>
                                  <w:vAlign w:val="center"/>
                                </w:tcPr>
                                <w:sdt>
                                  <w:sdtPr>
                                    <w:rPr>
                                      <w:color w:val="ED7D31" w:themeColor="accent2"/>
                                      <w:sz w:val="26"/>
                                      <w:szCs w:val="26"/>
                                    </w:rPr>
                                    <w:alias w:val="Autor"/>
                                    <w:tag w:val=""/>
                                    <w:id w:val="-27902607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265308CB" w14:textId="17BB9E5F" w:rsidR="00D04C91" w:rsidRDefault="00D04C91">
                                      <w:pPr>
                                        <w:pStyle w:val="Sinespaciado"/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PAMELA YUDITH AVILA CASTILLO</w:t>
                                      </w:r>
                                    </w:p>
                                  </w:sdtContent>
                                </w:sdt>
                                <w:p w14:paraId="5A852741" w14:textId="3153A4C4" w:rsidR="00D04C91" w:rsidRDefault="00D04C91">
                                  <w:pPr>
                                    <w:pStyle w:val="Sinespaciado"/>
                                  </w:pPr>
                                  <w:sdt>
                                    <w:sdtPr>
                                      <w:rPr>
                                        <w:color w:val="44546A" w:themeColor="text2"/>
                                      </w:rPr>
                                      <w:alias w:val="Curso"/>
                                      <w:tag w:val="Curso"/>
                                      <w:id w:val="-710501431"/>
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<w:text/>
                                    </w:sdtPr>
                                    <w:sdtContent>
                                      <w:r w:rsidRPr="00D04C91">
                                        <w:rPr>
                                          <w:color w:val="44546A" w:themeColor="text2"/>
                                        </w:rPr>
                                        <w:t>OBSERVACIÓN Y ANÁLISIS DE PRÁCTICAS Y CONTEXTOS ESCOLARES  1 D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45B921D9" w14:textId="77777777" w:rsidR="00D04C91" w:rsidRDefault="00D04C9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77300</wp14:pctHeight>
                </wp14:sizeRelV>
              </wp:anchor>
            </w:drawing>
          </mc:Choice>
          <mc:Fallback>
            <w:pict>
              <v:shape w14:anchorId="4B228328" id="Cuadro de texto 138" o:spid="_x0000_s1028" type="#_x0000_t202" style="position:absolute;margin-left:542.15pt;margin-top:90.2pt;width:593.35pt;height:302.4pt;z-index:251666432;visibility:visible;mso-wrap-style:square;mso-width-percent:0;mso-height-percent:773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" fillcolor="white [3201]" stroked="f" strokeweight=".5pt">
                <v:textbox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97"/>
                        <w:gridCol w:w="5774"/>
                      </w:tblGrid>
                      <w:tr w:rsidR="00D04C91" w14:paraId="413FC018" w14:textId="77777777">
                        <w:trPr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14:paraId="4BE7951D" w14:textId="77777777" w:rsidR="00D04C91" w:rsidRDefault="00D04C91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546675" wp14:editId="598BFF76">
                                  <wp:extent cx="3065006" cy="2569857"/>
                                  <wp:effectExtent l="0" t="0" r="2540" b="1905"/>
                                  <wp:docPr id="139" name="Imagen 1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" name="Imagen 139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65006" cy="25698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caps/>
                                <w:color w:val="191919" w:themeColor="text1" w:themeTint="E6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43837963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0E505EB1" w14:textId="239DA230" w:rsidR="00D04C91" w:rsidRDefault="00D04C91">
                                <w:pPr>
                                  <w:pStyle w:val="Sinespaciado"/>
                                  <w:spacing w:line="312" w:lineRule="auto"/>
                                  <w:jc w:val="right"/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t>gestión educativa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alias w:val="Subtítulo"/>
                              <w:tag w:val=""/>
                              <w:id w:val="135407256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3C4D6805" w14:textId="1ACA6DA8" w:rsidR="00D04C91" w:rsidRDefault="00D04C91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REPORTE DE LECTURA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sdt>
                            <w:sdtPr>
                              <w:rPr>
                                <w:color w:val="ED7D31" w:themeColor="accent2"/>
                                <w:sz w:val="26"/>
                                <w:szCs w:val="26"/>
                              </w:rPr>
                              <w:alias w:val="Autor"/>
                              <w:tag w:val=""/>
                              <w:id w:val="-27902607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265308CB" w14:textId="17BB9E5F" w:rsidR="00D04C91" w:rsidRDefault="00D04C91">
                                <w:pPr>
                                  <w:pStyle w:val="Sinespaciado"/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PAMELA YUDITH AVILA CASTILLO</w:t>
                                </w:r>
                              </w:p>
                            </w:sdtContent>
                          </w:sdt>
                          <w:p w14:paraId="5A852741" w14:textId="3153A4C4" w:rsidR="00D04C91" w:rsidRDefault="00D04C91">
                            <w:pPr>
                              <w:pStyle w:val="Sinespaciado"/>
                            </w:pPr>
                            <w:sdt>
                              <w:sdtPr>
                                <w:rPr>
                                  <w:color w:val="44546A" w:themeColor="text2"/>
                                </w:rPr>
                                <w:alias w:val="Curso"/>
                                <w:tag w:val="Curso"/>
                                <w:id w:val="-710501431"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Content>
                                <w:r w:rsidRPr="00D04C91">
                                  <w:rPr>
                                    <w:color w:val="44546A" w:themeColor="text2"/>
                                  </w:rPr>
                                  <w:t>OBSERVACIÓN Y ANÁLISIS DE PRÁCTICAS Y CONTEXTOS ESCOLARES  1 D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45B921D9" w14:textId="77777777" w:rsidR="00D04C91" w:rsidRDefault="00D04C91"/>
                  </w:txbxContent>
                </v:textbox>
                <w10:wrap anchorx="page" anchory="page"/>
              </v:shape>
            </w:pict>
          </mc:Fallback>
        </mc:AlternateContent>
      </w:r>
      <w:sdt>
        <w:sdtPr>
          <w:id w:val="1472397238"/>
          <w:docPartObj>
            <w:docPartGallery w:val="Cover Pages"/>
            <w:docPartUnique/>
          </w:docPartObj>
        </w:sdtPr>
        <w:sdtContent>
          <w:r>
            <w:br w:type="page"/>
          </w:r>
        </w:sdtContent>
      </w:sdt>
    </w:p>
    <w:p w14:paraId="4790940D" w14:textId="5CF96CF2" w:rsidR="00297062" w:rsidRPr="00DF3210" w:rsidRDefault="00297062">
      <w:pPr>
        <w:rPr>
          <w:b/>
          <w:bCs/>
        </w:rPr>
      </w:pPr>
      <w:r w:rsidRPr="00DF3210">
        <w:rPr>
          <w:b/>
          <w:bCs/>
        </w:rPr>
        <w:lastRenderedPageBreak/>
        <w:t>LA GESTIÓN EDUCATIVA</w:t>
      </w:r>
    </w:p>
    <w:p w14:paraId="721452F6" w14:textId="230C21ED" w:rsidR="00297062" w:rsidRDefault="00297062">
      <w:r>
        <w:t>Es un c</w:t>
      </w:r>
      <w:r w:rsidRPr="00297062">
        <w:t>onjunto de operaciones que se realizan para dirigir y administrar un negocio o una empresa</w:t>
      </w:r>
      <w:r>
        <w:t>, en este caso hablaremos de una institución educativa.</w:t>
      </w:r>
    </w:p>
    <w:p w14:paraId="00D052DE" w14:textId="26CA7A59" w:rsidR="00297062" w:rsidRDefault="00297062" w:rsidP="00297062">
      <w:r>
        <w:t xml:space="preserve">La gestión se caracteriza por una visión amplia de las posibilidades </w:t>
      </w:r>
      <w:r>
        <w:t xml:space="preserve">de </w:t>
      </w:r>
      <w:r>
        <w:t>una</w:t>
      </w:r>
      <w:r>
        <w:t xml:space="preserve"> </w:t>
      </w:r>
      <w:r>
        <w:t>organización para resolver alguna situación</w:t>
      </w:r>
      <w:r>
        <w:t>.</w:t>
      </w:r>
      <w:r>
        <w:br/>
      </w:r>
      <w:r>
        <w:t>Se define como el conjunto de acciones integradas para el logro de un objetivo a</w:t>
      </w:r>
      <w:r>
        <w:t xml:space="preserve"> </w:t>
      </w:r>
      <w:r>
        <w:t>cierto plazo; es la acción principal de la administración y eslabón intermedio entre</w:t>
      </w:r>
      <w:r>
        <w:t xml:space="preserve"> </w:t>
      </w:r>
      <w:r>
        <w:t>la planificación y los objetivos concretos que se pretenden alcanzar</w:t>
      </w:r>
      <w:r>
        <w:t>.</w:t>
      </w:r>
    </w:p>
    <w:p w14:paraId="7B3B3DA4" w14:textId="527520B0" w:rsidR="00297062" w:rsidRDefault="00297062" w:rsidP="00F64AC8">
      <w:r>
        <w:t>El concepto gestión tiene al menos tres campos de significado y de</w:t>
      </w:r>
      <w:r>
        <w:t xml:space="preserve"> </w:t>
      </w:r>
      <w:r>
        <w:t xml:space="preserve">aplicación. </w:t>
      </w:r>
      <w:r>
        <w:br/>
      </w:r>
      <w:r>
        <w:t>El primero</w:t>
      </w:r>
      <w:r>
        <w:t xml:space="preserve"> </w:t>
      </w:r>
      <w:r>
        <w:t>está en la</w:t>
      </w:r>
      <w:r>
        <w:t xml:space="preserve"> </w:t>
      </w:r>
      <w:r>
        <w:t>acción cotidiana de los sujetos</w:t>
      </w:r>
      <w:r>
        <w:t xml:space="preserve"> haciendo términos comunes, el segundo </w:t>
      </w:r>
      <w:r>
        <w:t>es el campo de la investigación, donde la gestión trata del proceso</w:t>
      </w:r>
      <w:r>
        <w:t xml:space="preserve"> </w:t>
      </w:r>
      <w:r>
        <w:t>formal y sistemático para producir conocimiento sobre los fenómenos observables</w:t>
      </w:r>
      <w:r>
        <w:t xml:space="preserve"> </w:t>
      </w:r>
      <w:r>
        <w:t>en el campo</w:t>
      </w:r>
      <w:r>
        <w:t xml:space="preserve"> de </w:t>
      </w:r>
      <w:r>
        <w:t>acción</w:t>
      </w:r>
      <w:r w:rsidR="00F64AC8">
        <w:t xml:space="preserve">, el tercero </w:t>
      </w:r>
      <w:r w:rsidR="00F64AC8">
        <w:t xml:space="preserve">es el de la innovación y el desarrollo, </w:t>
      </w:r>
      <w:r w:rsidR="00F64AC8">
        <w:t xml:space="preserve">ya que </w:t>
      </w:r>
      <w:r w:rsidR="00F64AC8">
        <w:t>se crean nuevas</w:t>
      </w:r>
      <w:r w:rsidR="00F64AC8">
        <w:t xml:space="preserve"> </w:t>
      </w:r>
      <w:r w:rsidR="00F64AC8">
        <w:t>pautas de gestión para la acción de los sujetos, con la intención de transformarla o mejorarla</w:t>
      </w:r>
      <w:r w:rsidR="000C3583">
        <w:t>.</w:t>
      </w:r>
    </w:p>
    <w:p w14:paraId="05128EE6" w14:textId="5726C84F" w:rsidR="000C3583" w:rsidRDefault="00304289" w:rsidP="000C3583">
      <w:r>
        <w:t>La gestión educativa se c</w:t>
      </w:r>
      <w:r w:rsidR="000C3583">
        <w:t>entra en lo pedagógico</w:t>
      </w:r>
      <w:r>
        <w:t>, p</w:t>
      </w:r>
      <w:r w:rsidR="000C3583">
        <w:t>arte de la idea de que las escuelas son la</w:t>
      </w:r>
      <w:r>
        <w:t xml:space="preserve"> </w:t>
      </w:r>
      <w:r w:rsidR="000C3583">
        <w:t>unidad clave de organización de los sistemas educativos consiste en la generación de aprendizajes para todos los alumnos</w:t>
      </w:r>
      <w:r>
        <w:t>, reconfigura</w:t>
      </w:r>
      <w:r w:rsidR="000C3583">
        <w:t>, nuevas competencias y profesionalización</w:t>
      </w:r>
      <w:r>
        <w:t xml:space="preserve">, propone el trabajo en equipo que </w:t>
      </w:r>
      <w:r w:rsidR="000C3583">
        <w:t>proporcione a la institución escolar una visión</w:t>
      </w:r>
      <w:r>
        <w:t xml:space="preserve"> </w:t>
      </w:r>
      <w:r w:rsidR="000C3583">
        <w:t>compartida acerca de hacia dónde se quiere ir y cuáles son las concepciones</w:t>
      </w:r>
      <w:r>
        <w:t xml:space="preserve"> </w:t>
      </w:r>
      <w:r w:rsidR="000C3583">
        <w:t>y los principios educativos que se pretenden promover</w:t>
      </w:r>
      <w:r>
        <w:t>, se centra en c</w:t>
      </w:r>
      <w:r w:rsidR="000C3583">
        <w:t>ulturas organizacionales cohesionadas por una visión de futuro</w:t>
      </w:r>
      <w:r>
        <w:t>, donde s</w:t>
      </w:r>
      <w:r w:rsidR="000C3583">
        <w:t>ugiere plantear escenarios múltiples ante situaciones diversas, a partir de</w:t>
      </w:r>
      <w:r>
        <w:t xml:space="preserve"> </w:t>
      </w:r>
      <w:r w:rsidR="000C3583">
        <w:t>objetivos claros y consensos de altura para arribar a estadios superiores como</w:t>
      </w:r>
      <w:r>
        <w:t xml:space="preserve"> </w:t>
      </w:r>
      <w:r w:rsidR="000C3583">
        <w:t>institución; donde los actores promuevan una organización inteligente, rica</w:t>
      </w:r>
      <w:r>
        <w:t xml:space="preserve"> </w:t>
      </w:r>
      <w:r w:rsidR="000C3583">
        <w:t>en propuestas y creatividad que estimulen la participación, la responsabilidad</w:t>
      </w:r>
      <w:r>
        <w:t xml:space="preserve"> </w:t>
      </w:r>
      <w:r w:rsidR="000C3583">
        <w:t>y el compromiso compartido.</w:t>
      </w:r>
    </w:p>
    <w:p w14:paraId="24AFA286" w14:textId="3B00BC8D" w:rsidR="00F64AC8" w:rsidRDefault="00F64AC8" w:rsidP="00F64AC8">
      <w:pPr>
        <w:rPr>
          <w:color w:val="DD195F"/>
        </w:rPr>
      </w:pPr>
      <w:r>
        <w:t>La gestión en el campo educativo se ha clasificado, en tres</w:t>
      </w:r>
      <w:r>
        <w:t xml:space="preserve"> </w:t>
      </w:r>
      <w:r>
        <w:t xml:space="preserve">categorías: </w:t>
      </w:r>
      <w:r w:rsidRPr="00F64AC8">
        <w:rPr>
          <w:color w:val="538135" w:themeColor="accent6" w:themeShade="BF"/>
        </w:rPr>
        <w:t>institucional</w:t>
      </w:r>
      <w:r>
        <w:t>,</w:t>
      </w:r>
      <w:r w:rsidRPr="00F64AC8">
        <w:rPr>
          <w:color w:val="BF8F00" w:themeColor="accent4" w:themeShade="BF"/>
        </w:rPr>
        <w:t xml:space="preserve"> escolar </w:t>
      </w:r>
      <w:r>
        <w:t xml:space="preserve">y </w:t>
      </w:r>
      <w:r w:rsidRPr="00F64AC8">
        <w:rPr>
          <w:color w:val="DD195F"/>
        </w:rPr>
        <w:t>pedagógica</w:t>
      </w:r>
    </w:p>
    <w:p w14:paraId="7FBCBDE7" w14:textId="3829E627" w:rsidR="00F64AC8" w:rsidRDefault="00F64AC8" w:rsidP="00F64AC8">
      <w:r>
        <w:t>La gestión institucional es</w:t>
      </w:r>
      <w:r w:rsidRPr="00F64AC8">
        <w:t xml:space="preserve"> el marco de referencia para orientar la planeación, la programación, el uso, la transparencia, la evaluación y la rendición de cuentas de los recursos humanos, financieros, técnicos y materiales en el quehacer institucional, a través de Autonomía universitaria responsable</w:t>
      </w:r>
      <w:r>
        <w:t>.</w:t>
      </w:r>
    </w:p>
    <w:p w14:paraId="34DACA1F" w14:textId="2BD0D67F" w:rsidR="00F64AC8" w:rsidRDefault="00F64AC8" w:rsidP="00F64AC8">
      <w:r>
        <w:t>La gestión escolar es</w:t>
      </w:r>
      <w:r w:rsidRPr="00F64AC8">
        <w:t xml:space="preserve"> el conjunto de labores realizadas por los actores de la comunidad educativa (director, maestros, personal de apoyo, padres de familia y alumnos), vinculadas con la tarea fundamental que le ha sido asignada a la escuela: generar las condiciones, los ambientes y procesos necesarios para que los estudiantes aprendan</w:t>
      </w:r>
      <w:r>
        <w:t>.</w:t>
      </w:r>
      <w:r>
        <w:br/>
        <w:t xml:space="preserve">En este sentido los directivos cumplen </w:t>
      </w:r>
      <w:r w:rsidR="000C3583">
        <w:t>el rol de generar y sostener los recursos y elementos para hacer funcionar la institución y su función es planificar, organizar, dirigir supervisar y evaluar el servicio educativo.</w:t>
      </w:r>
    </w:p>
    <w:p w14:paraId="1064B1B6" w14:textId="2BC323A8" w:rsidR="00304289" w:rsidRDefault="00304289" w:rsidP="00304289">
      <w:r>
        <w:t xml:space="preserve">La gestión pedagógica </w:t>
      </w:r>
      <w:r>
        <w:t>relacionada con las formas en que el docente realiza los procesos de enseñanza,</w:t>
      </w:r>
      <w:r>
        <w:t xml:space="preserve"> </w:t>
      </w:r>
      <w:r>
        <w:t>cómo asume el currículo y lo traduce en una planeación didáctica, cómo lo evalúa y,</w:t>
      </w:r>
      <w:r>
        <w:t xml:space="preserve"> </w:t>
      </w:r>
      <w:r>
        <w:t>además, la manera de interactuar con sus alumnos y con los padres de familia para</w:t>
      </w:r>
      <w:r>
        <w:t xml:space="preserve"> </w:t>
      </w:r>
      <w:r>
        <w:t>garantizar el aprendizaje de los primeros.</w:t>
      </w:r>
    </w:p>
    <w:p w14:paraId="40D80AAE" w14:textId="2023DF1B" w:rsidR="00DF3210" w:rsidRDefault="00DF3210" w:rsidP="00DF3210">
      <w:r>
        <w:lastRenderedPageBreak/>
        <w:t xml:space="preserve">La gestión educativa se puede presentar a distintas dificultades, como la </w:t>
      </w:r>
      <w:r>
        <w:t>a gestión directiva es clave</w:t>
      </w:r>
      <w:r>
        <w:t>, u</w:t>
      </w:r>
      <w:r>
        <w:t>na gestión directiva desenfocada, puede conllevar el fracaso del proyecto educativo y a la pérdida de la oportunidad de movilidad social de los alumnos.</w:t>
      </w:r>
    </w:p>
    <w:p w14:paraId="783BB1E1" w14:textId="05886159" w:rsidR="00304289" w:rsidRDefault="00DF3210" w:rsidP="00DF3210">
      <w:r>
        <w:t>Si la gestión educativa no es cumplida y  atendida correctamente los roles y las funciones del equipo educativo no se seguirán correctamente.</w:t>
      </w:r>
    </w:p>
    <w:p w14:paraId="5C0B57AA" w14:textId="6230DD54" w:rsidR="00BB20E1" w:rsidRPr="00F64AC8" w:rsidRDefault="00BB20E1" w:rsidP="00DF3210"/>
    <w:sectPr w:rsidR="00BB20E1" w:rsidRPr="00F64AC8" w:rsidSect="00D04C91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62"/>
    <w:rsid w:val="000C3583"/>
    <w:rsid w:val="00297062"/>
    <w:rsid w:val="002B7B45"/>
    <w:rsid w:val="00304289"/>
    <w:rsid w:val="0033589C"/>
    <w:rsid w:val="00BB20E1"/>
    <w:rsid w:val="00D04C91"/>
    <w:rsid w:val="00DF3210"/>
    <w:rsid w:val="00F6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516C"/>
  <w15:chartTrackingRefBased/>
  <w15:docId w15:val="{2994D285-7E41-47F7-BD97-8AC7549D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04C9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04C91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gestión educativa</dc:title>
  <dc:subject>REPORTE DE LECTURA</dc:subject>
  <dc:creator>PAMELA YUDITH AVILA CASTILLO</dc:creator>
  <cp:keywords/>
  <dc:description/>
  <cp:lastModifiedBy>PAMELA YUDITH AVILA CASTILLO</cp:lastModifiedBy>
  <cp:revision>2</cp:revision>
  <dcterms:created xsi:type="dcterms:W3CDTF">2021-05-14T00:05:00Z</dcterms:created>
  <dcterms:modified xsi:type="dcterms:W3CDTF">2021-05-14T00:05:00Z</dcterms:modified>
  <cp:category>OBSERVACIÓN Y ANÁLISIS DE PRÁCTICAS Y CONTEXTOS ESCOLARES  1 D</cp:category>
</cp:coreProperties>
</file>