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19F4" w14:textId="68C7D212" w:rsidR="00D94588" w:rsidRPr="00D94588" w:rsidRDefault="00D94588" w:rsidP="00D94588">
      <w:pPr>
        <w:jc w:val="center"/>
        <w:rPr>
          <w:rFonts w:ascii="Arial" w:hAnsi="Arial" w:cs="Arial"/>
          <w:b/>
          <w:bCs/>
          <w:color w:val="000000" w:themeColor="text1"/>
          <w:sz w:val="56"/>
          <w:szCs w:val="56"/>
        </w:rPr>
      </w:pPr>
      <w:r>
        <w:rPr>
          <w:noProof/>
        </w:rPr>
        <w:drawing>
          <wp:anchor distT="0" distB="0" distL="114300" distR="114300" simplePos="0" relativeHeight="251659264" behindDoc="1" locked="0" layoutInCell="1" allowOverlap="1" wp14:anchorId="673E76E6" wp14:editId="7C9DEBF9">
            <wp:simplePos x="0" y="0"/>
            <wp:positionH relativeFrom="column">
              <wp:posOffset>-793024</wp:posOffset>
            </wp:positionH>
            <wp:positionV relativeFrom="paragraph">
              <wp:posOffset>-11793</wp:posOffset>
            </wp:positionV>
            <wp:extent cx="1423670" cy="1071245"/>
            <wp:effectExtent l="0" t="0" r="0" b="0"/>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3670" cy="1071245"/>
                    </a:xfrm>
                    <a:prstGeom prst="rect">
                      <a:avLst/>
                    </a:prstGeom>
                    <a:noFill/>
                    <a:ln>
                      <a:noFill/>
                    </a:ln>
                  </pic:spPr>
                </pic:pic>
              </a:graphicData>
            </a:graphic>
          </wp:anchor>
        </w:drawing>
      </w:r>
      <w:r w:rsidRPr="00D94588">
        <w:rPr>
          <w:rFonts w:ascii="Arial" w:hAnsi="Arial" w:cs="Arial"/>
          <w:b/>
          <w:bCs/>
          <w:color w:val="000000" w:themeColor="text1"/>
          <w:sz w:val="56"/>
          <w:szCs w:val="56"/>
        </w:rPr>
        <w:t>Escuela normal de educación preescolar</w:t>
      </w:r>
    </w:p>
    <w:p w14:paraId="68BE09F0" w14:textId="649AAF4E" w:rsidR="00D94588" w:rsidRPr="00D94588" w:rsidRDefault="00D94588" w:rsidP="00D94588">
      <w:pPr>
        <w:jc w:val="center"/>
        <w:rPr>
          <w:rFonts w:ascii="Arial" w:hAnsi="Arial" w:cs="Arial"/>
          <w:color w:val="000000" w:themeColor="text1"/>
          <w:sz w:val="40"/>
          <w:szCs w:val="40"/>
        </w:rPr>
      </w:pPr>
      <w:r w:rsidRPr="00D94588">
        <w:rPr>
          <w:rFonts w:ascii="Arial" w:hAnsi="Arial" w:cs="Arial"/>
          <w:color w:val="000000" w:themeColor="text1"/>
          <w:sz w:val="40"/>
          <w:szCs w:val="40"/>
        </w:rPr>
        <w:t>Licenciatura en educación preescolar</w:t>
      </w:r>
    </w:p>
    <w:p w14:paraId="1D4440B2" w14:textId="69E70183" w:rsidR="00D94588" w:rsidRPr="00D94588" w:rsidRDefault="00D94588" w:rsidP="00D94588">
      <w:pPr>
        <w:jc w:val="center"/>
        <w:rPr>
          <w:rFonts w:ascii="Arial" w:hAnsi="Arial" w:cs="Arial"/>
          <w:color w:val="000000" w:themeColor="text1"/>
          <w:sz w:val="40"/>
          <w:szCs w:val="40"/>
        </w:rPr>
      </w:pPr>
      <w:r w:rsidRPr="00D94588">
        <w:rPr>
          <w:rFonts w:ascii="Arial" w:hAnsi="Arial" w:cs="Arial"/>
          <w:color w:val="000000" w:themeColor="text1"/>
          <w:sz w:val="40"/>
          <w:szCs w:val="40"/>
        </w:rPr>
        <w:t>Ciclo escolar 2020-2021</w:t>
      </w:r>
    </w:p>
    <w:p w14:paraId="5E31ED42" w14:textId="68D01BE4" w:rsidR="00D94588" w:rsidRDefault="00D94588" w:rsidP="00D94588">
      <w:pPr>
        <w:jc w:val="center"/>
        <w:rPr>
          <w:rFonts w:ascii="Arial" w:hAnsi="Arial" w:cs="Arial"/>
          <w:color w:val="000000" w:themeColor="text1"/>
          <w:sz w:val="40"/>
          <w:szCs w:val="40"/>
        </w:rPr>
      </w:pPr>
    </w:p>
    <w:p w14:paraId="12CAE13B" w14:textId="1D731931" w:rsidR="00D94588" w:rsidRPr="00D94588" w:rsidRDefault="00D94588" w:rsidP="00D94588">
      <w:pPr>
        <w:jc w:val="center"/>
        <w:rPr>
          <w:rFonts w:ascii="Arial" w:hAnsi="Arial" w:cs="Arial"/>
          <w:b/>
          <w:bCs/>
          <w:color w:val="000000" w:themeColor="text1"/>
          <w:sz w:val="40"/>
          <w:szCs w:val="40"/>
        </w:rPr>
      </w:pPr>
      <w:r w:rsidRPr="00D94588">
        <w:rPr>
          <w:rFonts w:ascii="Arial" w:hAnsi="Arial" w:cs="Arial"/>
          <w:b/>
          <w:bCs/>
          <w:color w:val="000000" w:themeColor="text1"/>
          <w:sz w:val="40"/>
          <w:szCs w:val="40"/>
        </w:rPr>
        <w:t xml:space="preserve">Matriz analítica </w:t>
      </w:r>
    </w:p>
    <w:p w14:paraId="5C84233B" w14:textId="41E82696" w:rsidR="00D94588" w:rsidRPr="00D94588" w:rsidRDefault="00D94588" w:rsidP="00D94588">
      <w:pPr>
        <w:jc w:val="center"/>
        <w:rPr>
          <w:rFonts w:ascii="Arial" w:hAnsi="Arial" w:cs="Arial"/>
          <w:color w:val="000000" w:themeColor="text1"/>
          <w:sz w:val="40"/>
          <w:szCs w:val="40"/>
        </w:rPr>
      </w:pPr>
      <w:r w:rsidRPr="00D94588">
        <w:rPr>
          <w:rFonts w:ascii="Arial" w:hAnsi="Arial" w:cs="Arial"/>
          <w:color w:val="000000" w:themeColor="text1"/>
          <w:sz w:val="40"/>
          <w:szCs w:val="40"/>
        </w:rPr>
        <w:t>Forma, espacio y medida</w:t>
      </w:r>
    </w:p>
    <w:p w14:paraId="021D2AA7" w14:textId="6449BEEE" w:rsidR="00D94588" w:rsidRPr="00D94588" w:rsidRDefault="00D94588" w:rsidP="00D94588">
      <w:pPr>
        <w:jc w:val="center"/>
        <w:rPr>
          <w:rFonts w:ascii="Arial" w:hAnsi="Arial" w:cs="Arial"/>
          <w:color w:val="000000" w:themeColor="text1"/>
          <w:sz w:val="40"/>
          <w:szCs w:val="40"/>
        </w:rPr>
      </w:pPr>
      <w:r w:rsidRPr="00D94588">
        <w:rPr>
          <w:rFonts w:ascii="Arial" w:hAnsi="Arial" w:cs="Arial"/>
          <w:color w:val="000000" w:themeColor="text1"/>
          <w:sz w:val="40"/>
          <w:szCs w:val="40"/>
        </w:rPr>
        <w:t>Unidad 2</w:t>
      </w:r>
    </w:p>
    <w:p w14:paraId="7C2EA9EB" w14:textId="0A731FCA" w:rsidR="00D94588" w:rsidRDefault="00D94588" w:rsidP="00D94588">
      <w:pPr>
        <w:jc w:val="center"/>
        <w:rPr>
          <w:rFonts w:ascii="Arial" w:hAnsi="Arial" w:cs="Arial"/>
          <w:color w:val="000000" w:themeColor="text1"/>
          <w:sz w:val="40"/>
          <w:szCs w:val="40"/>
        </w:rPr>
      </w:pPr>
      <w:r w:rsidRPr="00D94588">
        <w:rPr>
          <w:rFonts w:ascii="Arial" w:hAnsi="Arial" w:cs="Arial"/>
          <w:color w:val="000000" w:themeColor="text1"/>
          <w:sz w:val="40"/>
          <w:szCs w:val="40"/>
        </w:rPr>
        <w:t>Maestra</w:t>
      </w:r>
      <w:r>
        <w:rPr>
          <w:rFonts w:ascii="Arial" w:hAnsi="Arial" w:cs="Arial"/>
          <w:color w:val="000000" w:themeColor="text1"/>
          <w:sz w:val="40"/>
          <w:szCs w:val="40"/>
        </w:rPr>
        <w:t>:</w:t>
      </w:r>
      <w:r w:rsidRPr="00D94588">
        <w:rPr>
          <w:rFonts w:ascii="Arial" w:hAnsi="Arial" w:cs="Arial"/>
          <w:color w:val="000000" w:themeColor="text1"/>
          <w:sz w:val="40"/>
          <w:szCs w:val="40"/>
        </w:rPr>
        <w:t xml:space="preserve"> Oralia Gabriela Palmares Villarreal</w:t>
      </w:r>
    </w:p>
    <w:p w14:paraId="07A165AC" w14:textId="446A521F" w:rsidR="00D94588" w:rsidRDefault="00D94588" w:rsidP="00D94588">
      <w:pPr>
        <w:jc w:val="center"/>
        <w:rPr>
          <w:rFonts w:ascii="Arial" w:hAnsi="Arial" w:cs="Arial"/>
          <w:color w:val="000000" w:themeColor="text1"/>
          <w:sz w:val="40"/>
          <w:szCs w:val="40"/>
        </w:rPr>
      </w:pPr>
      <w:r>
        <w:rPr>
          <w:rFonts w:ascii="Arial" w:hAnsi="Arial" w:cs="Arial"/>
          <w:color w:val="000000" w:themeColor="text1"/>
          <w:sz w:val="40"/>
          <w:szCs w:val="40"/>
        </w:rPr>
        <w:t>Alumna: María Ximena Avalos Flores #1</w:t>
      </w:r>
    </w:p>
    <w:p w14:paraId="3DDD3CF6" w14:textId="4DA3BC6C" w:rsidR="00D94588" w:rsidRDefault="00D94588" w:rsidP="00D94588">
      <w:pPr>
        <w:jc w:val="center"/>
        <w:rPr>
          <w:rFonts w:ascii="Arial" w:hAnsi="Arial" w:cs="Arial"/>
          <w:color w:val="000000" w:themeColor="text1"/>
          <w:sz w:val="40"/>
          <w:szCs w:val="40"/>
        </w:rPr>
      </w:pPr>
      <w:r>
        <w:rPr>
          <w:rFonts w:ascii="Arial" w:hAnsi="Arial" w:cs="Arial"/>
          <w:color w:val="000000" w:themeColor="text1"/>
          <w:sz w:val="40"/>
          <w:szCs w:val="40"/>
        </w:rPr>
        <w:t>2do semestre sección C</w:t>
      </w:r>
    </w:p>
    <w:p w14:paraId="1D8062CA" w14:textId="615A93E8" w:rsidR="00D94588" w:rsidRDefault="00D94588" w:rsidP="00D94588">
      <w:pPr>
        <w:jc w:val="center"/>
        <w:rPr>
          <w:rFonts w:ascii="Arial" w:hAnsi="Arial" w:cs="Arial"/>
          <w:color w:val="000000" w:themeColor="text1"/>
          <w:sz w:val="40"/>
          <w:szCs w:val="40"/>
        </w:rPr>
      </w:pPr>
    </w:p>
    <w:p w14:paraId="6AE911C8" w14:textId="0A5C1215" w:rsidR="00D94588" w:rsidRDefault="00D94588" w:rsidP="00D94588">
      <w:pPr>
        <w:jc w:val="center"/>
        <w:rPr>
          <w:rFonts w:ascii="Arial" w:hAnsi="Arial" w:cs="Arial"/>
          <w:color w:val="000000" w:themeColor="text1"/>
          <w:sz w:val="40"/>
          <w:szCs w:val="40"/>
        </w:rPr>
      </w:pPr>
    </w:p>
    <w:p w14:paraId="2AD00556" w14:textId="77777777" w:rsidR="00D94588" w:rsidRDefault="00D94588" w:rsidP="00D94588">
      <w:pPr>
        <w:jc w:val="center"/>
        <w:rPr>
          <w:rFonts w:ascii="Arial" w:hAnsi="Arial" w:cs="Arial"/>
          <w:color w:val="000000" w:themeColor="text1"/>
          <w:sz w:val="40"/>
          <w:szCs w:val="40"/>
        </w:rPr>
      </w:pPr>
      <w:r>
        <w:rPr>
          <w:rFonts w:ascii="Arial" w:hAnsi="Arial" w:cs="Arial"/>
          <w:color w:val="000000" w:themeColor="text1"/>
          <w:sz w:val="40"/>
          <w:szCs w:val="40"/>
        </w:rPr>
        <w:t>Saltillo, Coahuila             13/05/2021</w:t>
      </w:r>
    </w:p>
    <w:p w14:paraId="68944021" w14:textId="190D35A7" w:rsidR="003C1DF4" w:rsidRPr="00D94588" w:rsidRDefault="008C21F5" w:rsidP="00D94588">
      <w:pPr>
        <w:jc w:val="center"/>
        <w:rPr>
          <w:rFonts w:ascii="Arial" w:hAnsi="Arial" w:cs="Arial"/>
          <w:color w:val="000000" w:themeColor="text1"/>
          <w:sz w:val="40"/>
          <w:szCs w:val="40"/>
        </w:rPr>
      </w:pPr>
      <w:r w:rsidRPr="007A0E4C">
        <w:rPr>
          <w:rFonts w:ascii="Cooper Black" w:hAnsi="Cooper Black"/>
          <w:color w:val="CCFF33"/>
          <w:sz w:val="72"/>
          <w:szCs w:val="72"/>
        </w:rPr>
        <w:lastRenderedPageBreak/>
        <w:t>Matriz analítica</w:t>
      </w:r>
    </w:p>
    <w:tbl>
      <w:tblPr>
        <w:tblpPr w:leftFromText="141" w:rightFromText="141" w:vertAnchor="text" w:horzAnchor="margin" w:tblpXSpec="center" w:tblpY="248"/>
        <w:tblW w:w="14879" w:type="dxa"/>
        <w:tblBorders>
          <w:top w:val="single" w:sz="4" w:space="0" w:color="9933FF"/>
          <w:left w:val="single" w:sz="4" w:space="0" w:color="9933FF"/>
          <w:bottom w:val="single" w:sz="4" w:space="0" w:color="9933FF"/>
          <w:right w:val="single" w:sz="4" w:space="0" w:color="9933FF"/>
          <w:insideH w:val="single" w:sz="4" w:space="0" w:color="9933FF"/>
          <w:insideV w:val="single" w:sz="4" w:space="0" w:color="9933FF"/>
        </w:tblBorders>
        <w:tblCellMar>
          <w:left w:w="0" w:type="dxa"/>
          <w:right w:w="0" w:type="dxa"/>
        </w:tblCellMar>
        <w:tblLook w:val="0420" w:firstRow="1" w:lastRow="0" w:firstColumn="0" w:lastColumn="0" w:noHBand="0" w:noVBand="1"/>
      </w:tblPr>
      <w:tblGrid>
        <w:gridCol w:w="3108"/>
        <w:gridCol w:w="2519"/>
        <w:gridCol w:w="2590"/>
        <w:gridCol w:w="2551"/>
        <w:gridCol w:w="4111"/>
      </w:tblGrid>
      <w:tr w:rsidR="00310AA7" w:rsidRPr="00E03FB6" w14:paraId="4BCBAF97" w14:textId="77777777" w:rsidTr="00310AA7">
        <w:trPr>
          <w:trHeight w:val="1620"/>
        </w:trPr>
        <w:tc>
          <w:tcPr>
            <w:tcW w:w="3108" w:type="dxa"/>
            <w:shd w:val="clear" w:color="auto" w:fill="9999FF"/>
            <w:tcMar>
              <w:top w:w="72" w:type="dxa"/>
              <w:left w:w="144" w:type="dxa"/>
              <w:bottom w:w="72" w:type="dxa"/>
              <w:right w:w="144" w:type="dxa"/>
            </w:tcMar>
            <w:hideMark/>
          </w:tcPr>
          <w:p w14:paraId="35FC79B9"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Referente empírico: hechos</w:t>
            </w:r>
          </w:p>
        </w:tc>
        <w:tc>
          <w:tcPr>
            <w:tcW w:w="2519" w:type="dxa"/>
            <w:shd w:val="clear" w:color="auto" w:fill="9999FF"/>
            <w:tcMar>
              <w:top w:w="72" w:type="dxa"/>
              <w:left w:w="144" w:type="dxa"/>
              <w:bottom w:w="72" w:type="dxa"/>
              <w:right w:w="144" w:type="dxa"/>
            </w:tcMar>
            <w:hideMark/>
          </w:tcPr>
          <w:p w14:paraId="31D677A3"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Análisis especulativo ¿Qué pasa aquí?</w:t>
            </w:r>
          </w:p>
        </w:tc>
        <w:tc>
          <w:tcPr>
            <w:tcW w:w="2590" w:type="dxa"/>
            <w:shd w:val="clear" w:color="auto" w:fill="9999FF"/>
            <w:tcMar>
              <w:top w:w="72" w:type="dxa"/>
              <w:left w:w="144" w:type="dxa"/>
              <w:bottom w:w="72" w:type="dxa"/>
              <w:right w:w="144" w:type="dxa"/>
            </w:tcMar>
            <w:hideMark/>
          </w:tcPr>
          <w:p w14:paraId="0BB8825B"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Primera pregunta para reflexionar:</w:t>
            </w:r>
          </w:p>
          <w:p w14:paraId="406DA43E"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¿Qué logros tuvo el alumno al abordar las actividades?</w:t>
            </w:r>
          </w:p>
        </w:tc>
        <w:tc>
          <w:tcPr>
            <w:tcW w:w="2551" w:type="dxa"/>
            <w:shd w:val="clear" w:color="auto" w:fill="9999FF"/>
            <w:tcMar>
              <w:top w:w="72" w:type="dxa"/>
              <w:left w:w="144" w:type="dxa"/>
              <w:bottom w:w="72" w:type="dxa"/>
              <w:right w:w="144" w:type="dxa"/>
            </w:tcMar>
            <w:hideMark/>
          </w:tcPr>
          <w:p w14:paraId="4942A76E"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Segunda pregunta para reflexionar:</w:t>
            </w:r>
          </w:p>
          <w:p w14:paraId="1D1DF6B0"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¿Qué dificultades tuvo el alumno al abordar las actividades?</w:t>
            </w:r>
          </w:p>
        </w:tc>
        <w:tc>
          <w:tcPr>
            <w:tcW w:w="4111" w:type="dxa"/>
            <w:shd w:val="clear" w:color="auto" w:fill="9999FF"/>
            <w:tcMar>
              <w:top w:w="72" w:type="dxa"/>
              <w:left w:w="144" w:type="dxa"/>
              <w:bottom w:w="72" w:type="dxa"/>
              <w:right w:w="144" w:type="dxa"/>
            </w:tcMar>
            <w:hideMark/>
          </w:tcPr>
          <w:p w14:paraId="218D7B9B" w14:textId="77777777" w:rsidR="00D94588" w:rsidRPr="008C21F5" w:rsidRDefault="00D94588" w:rsidP="00D94588">
            <w:pPr>
              <w:jc w:val="center"/>
              <w:rPr>
                <w:rFonts w:ascii="Arial" w:hAnsi="Arial" w:cs="Arial"/>
                <w:color w:val="FFFFFF" w:themeColor="background1"/>
                <w:sz w:val="24"/>
                <w:szCs w:val="24"/>
              </w:rPr>
            </w:pPr>
            <w:r w:rsidRPr="008C21F5">
              <w:rPr>
                <w:rFonts w:ascii="Arial" w:hAnsi="Arial" w:cs="Arial"/>
                <w:b/>
                <w:bCs/>
                <w:color w:val="FFFFFF" w:themeColor="background1"/>
                <w:sz w:val="24"/>
                <w:szCs w:val="24"/>
              </w:rPr>
              <w:t>Referentes teóricos que expliquen logros y dificultades encontradas</w:t>
            </w:r>
          </w:p>
        </w:tc>
      </w:tr>
      <w:tr w:rsidR="00310AA7" w:rsidRPr="00E03FB6" w14:paraId="21584617" w14:textId="77777777" w:rsidTr="00310AA7">
        <w:trPr>
          <w:trHeight w:val="690"/>
        </w:trPr>
        <w:tc>
          <w:tcPr>
            <w:tcW w:w="3108" w:type="dxa"/>
            <w:shd w:val="clear" w:color="auto" w:fill="BDBDFF"/>
            <w:tcMar>
              <w:top w:w="72" w:type="dxa"/>
              <w:left w:w="144" w:type="dxa"/>
              <w:bottom w:w="72" w:type="dxa"/>
              <w:right w:w="144" w:type="dxa"/>
            </w:tcMar>
            <w:hideMark/>
          </w:tcPr>
          <w:p w14:paraId="601C1C3B" w14:textId="55D678F5" w:rsidR="00D94588" w:rsidRPr="008C21F5" w:rsidRDefault="00D94588" w:rsidP="00D94588">
            <w:pPr>
              <w:rPr>
                <w:rFonts w:ascii="Arial" w:hAnsi="Arial" w:cs="Arial"/>
                <w:color w:val="FFFFFF" w:themeColor="background1"/>
                <w:sz w:val="24"/>
                <w:szCs w:val="24"/>
              </w:rPr>
            </w:pPr>
            <w:r w:rsidRPr="00310AA7">
              <w:rPr>
                <w:rFonts w:ascii="Arial" w:hAnsi="Arial" w:cs="Arial"/>
                <w:color w:val="FFFFFF" w:themeColor="background1"/>
                <w:sz w:val="24"/>
                <w:szCs w:val="24"/>
              </w:rPr>
              <w:t xml:space="preserve">El niño al principio comenzó a clasificar las figuras por colores en lugar de clasificarlas según la forma de la </w:t>
            </w:r>
            <w:r w:rsidRPr="00310AA7">
              <w:rPr>
                <w:rFonts w:ascii="Arial" w:hAnsi="Arial" w:cs="Arial"/>
                <w:color w:val="FFFFFF" w:themeColor="background1"/>
                <w:sz w:val="24"/>
                <w:szCs w:val="24"/>
              </w:rPr>
              <w:t>figura,</w:t>
            </w:r>
            <w:r w:rsidRPr="00310AA7">
              <w:rPr>
                <w:rFonts w:ascii="Arial" w:hAnsi="Arial" w:cs="Arial"/>
                <w:color w:val="FFFFFF" w:themeColor="background1"/>
                <w:sz w:val="24"/>
                <w:szCs w:val="24"/>
              </w:rPr>
              <w:t xml:space="preserve"> hasta que se le volvió a explicar y comenzó a hacerlo correctamente y al irlas clasificando iba diciendo el nombre de las figuras y algunas veces las contaba.</w:t>
            </w:r>
          </w:p>
        </w:tc>
        <w:tc>
          <w:tcPr>
            <w:tcW w:w="2519" w:type="dxa"/>
            <w:shd w:val="clear" w:color="auto" w:fill="BDBDFF"/>
            <w:tcMar>
              <w:top w:w="72" w:type="dxa"/>
              <w:left w:w="144" w:type="dxa"/>
              <w:bottom w:w="72" w:type="dxa"/>
              <w:right w:w="144" w:type="dxa"/>
            </w:tcMar>
            <w:hideMark/>
          </w:tcPr>
          <w:p w14:paraId="3173DE3F" w14:textId="77777777" w:rsidR="00D94588" w:rsidRPr="008C21F5" w:rsidRDefault="00D94588" w:rsidP="00D94588">
            <w:pPr>
              <w:rPr>
                <w:rFonts w:ascii="Arial" w:hAnsi="Arial" w:cs="Arial"/>
                <w:color w:val="FFFFFF" w:themeColor="background1"/>
                <w:sz w:val="24"/>
                <w:szCs w:val="24"/>
              </w:rPr>
            </w:pPr>
            <w:r w:rsidRPr="00310AA7">
              <w:rPr>
                <w:rFonts w:ascii="Arial" w:hAnsi="Arial" w:cs="Arial"/>
                <w:color w:val="FFFFFF" w:themeColor="background1"/>
                <w:sz w:val="24"/>
                <w:szCs w:val="24"/>
              </w:rPr>
              <w:t>La intención de esta actividad era que el niño lograra clasificar las figuras que se le facilitaran según el apartado en el que correspondía, es decir los círculos adentro del circulo grade, los cuadrados adentro del cuadrado y así con las demás figuras.</w:t>
            </w:r>
          </w:p>
        </w:tc>
        <w:tc>
          <w:tcPr>
            <w:tcW w:w="2590" w:type="dxa"/>
            <w:shd w:val="clear" w:color="auto" w:fill="BDBDFF"/>
            <w:tcMar>
              <w:top w:w="72" w:type="dxa"/>
              <w:left w:w="144" w:type="dxa"/>
              <w:bottom w:w="72" w:type="dxa"/>
              <w:right w:w="144" w:type="dxa"/>
            </w:tcMar>
            <w:hideMark/>
          </w:tcPr>
          <w:p w14:paraId="5FA4B233" w14:textId="61A289DA" w:rsidR="00D94588" w:rsidRPr="00310AA7" w:rsidRDefault="00D94588" w:rsidP="00D94588">
            <w:pPr>
              <w:pStyle w:val="Prrafodelista"/>
              <w:numPr>
                <w:ilvl w:val="0"/>
                <w:numId w:val="1"/>
              </w:numPr>
              <w:rPr>
                <w:rFonts w:ascii="Arial" w:hAnsi="Arial" w:cs="Arial"/>
                <w:color w:val="FFFFFF" w:themeColor="background1"/>
                <w:sz w:val="24"/>
                <w:szCs w:val="24"/>
              </w:rPr>
            </w:pPr>
            <w:r w:rsidRPr="00310AA7">
              <w:rPr>
                <w:rFonts w:ascii="Arial" w:hAnsi="Arial" w:cs="Arial"/>
                <w:color w:val="FFFFFF" w:themeColor="background1"/>
                <w:sz w:val="24"/>
                <w:szCs w:val="24"/>
              </w:rPr>
              <w:t>Logro clasificar las figuras</w:t>
            </w:r>
          </w:p>
          <w:p w14:paraId="338F586C" w14:textId="37450E14" w:rsidR="00D94588" w:rsidRPr="00310AA7" w:rsidRDefault="00E03FB6" w:rsidP="00D94588">
            <w:pPr>
              <w:pStyle w:val="Prrafodelista"/>
              <w:numPr>
                <w:ilvl w:val="0"/>
                <w:numId w:val="1"/>
              </w:numPr>
              <w:rPr>
                <w:rFonts w:ascii="Arial" w:hAnsi="Arial" w:cs="Arial"/>
                <w:color w:val="FFFFFF" w:themeColor="background1"/>
                <w:sz w:val="24"/>
                <w:szCs w:val="24"/>
              </w:rPr>
            </w:pPr>
            <w:r w:rsidRPr="00310AA7">
              <w:rPr>
                <w:rFonts w:ascii="Arial" w:hAnsi="Arial" w:cs="Arial"/>
                <w:color w:val="FFFFFF" w:themeColor="background1"/>
                <w:sz w:val="24"/>
                <w:szCs w:val="24"/>
              </w:rPr>
              <w:t>Conoce el nombre de las figuras</w:t>
            </w:r>
          </w:p>
          <w:p w14:paraId="6F39E42A" w14:textId="0005E5ED" w:rsidR="00E03FB6" w:rsidRPr="00310AA7" w:rsidRDefault="00E03FB6" w:rsidP="00D94588">
            <w:pPr>
              <w:pStyle w:val="Prrafodelista"/>
              <w:numPr>
                <w:ilvl w:val="0"/>
                <w:numId w:val="1"/>
              </w:numPr>
              <w:rPr>
                <w:rFonts w:ascii="Arial" w:hAnsi="Arial" w:cs="Arial"/>
                <w:color w:val="FFFFFF" w:themeColor="background1"/>
                <w:sz w:val="24"/>
                <w:szCs w:val="24"/>
              </w:rPr>
            </w:pPr>
            <w:r w:rsidRPr="00310AA7">
              <w:rPr>
                <w:rFonts w:ascii="Arial" w:hAnsi="Arial" w:cs="Arial"/>
                <w:color w:val="FFFFFF" w:themeColor="background1"/>
                <w:sz w:val="24"/>
                <w:szCs w:val="24"/>
              </w:rPr>
              <w:t>Era capaz de contarlas</w:t>
            </w:r>
          </w:p>
          <w:p w14:paraId="42F7576A" w14:textId="77777777" w:rsidR="00D94588" w:rsidRPr="008C21F5" w:rsidRDefault="00D94588" w:rsidP="00D94588">
            <w:pPr>
              <w:rPr>
                <w:rFonts w:ascii="Arial" w:hAnsi="Arial" w:cs="Arial"/>
                <w:color w:val="FFFFFF" w:themeColor="background1"/>
                <w:sz w:val="24"/>
                <w:szCs w:val="24"/>
              </w:rPr>
            </w:pPr>
          </w:p>
        </w:tc>
        <w:tc>
          <w:tcPr>
            <w:tcW w:w="2551" w:type="dxa"/>
            <w:shd w:val="clear" w:color="auto" w:fill="BDBDFF"/>
            <w:tcMar>
              <w:top w:w="72" w:type="dxa"/>
              <w:left w:w="144" w:type="dxa"/>
              <w:bottom w:w="72" w:type="dxa"/>
              <w:right w:w="144" w:type="dxa"/>
            </w:tcMar>
            <w:hideMark/>
          </w:tcPr>
          <w:p w14:paraId="25E1509B" w14:textId="5FA3791C" w:rsidR="00D94588" w:rsidRPr="00310AA7" w:rsidRDefault="00E03FB6" w:rsidP="00E03FB6">
            <w:pPr>
              <w:pStyle w:val="Prrafodelista"/>
              <w:numPr>
                <w:ilvl w:val="0"/>
                <w:numId w:val="1"/>
              </w:numPr>
              <w:rPr>
                <w:rFonts w:ascii="Arial" w:hAnsi="Arial" w:cs="Arial"/>
                <w:color w:val="FFFFFF" w:themeColor="background1"/>
                <w:sz w:val="24"/>
                <w:szCs w:val="24"/>
              </w:rPr>
            </w:pPr>
            <w:r w:rsidRPr="00310AA7">
              <w:rPr>
                <w:rFonts w:ascii="Arial" w:hAnsi="Arial" w:cs="Arial"/>
                <w:color w:val="FFFFFF" w:themeColor="background1"/>
                <w:sz w:val="24"/>
                <w:szCs w:val="24"/>
              </w:rPr>
              <w:t>Algunas veces ya después de haberle explicado que debía de clasificar las figuras según su tipo en lugar de por color lo olvidaba y quería colocar un circulo en donde iban los círculos solo porque tenían el mismo color.</w:t>
            </w:r>
          </w:p>
        </w:tc>
        <w:tc>
          <w:tcPr>
            <w:tcW w:w="4111" w:type="dxa"/>
            <w:shd w:val="clear" w:color="auto" w:fill="BDBDFF"/>
            <w:tcMar>
              <w:top w:w="72" w:type="dxa"/>
              <w:left w:w="144" w:type="dxa"/>
              <w:bottom w:w="72" w:type="dxa"/>
              <w:right w:w="144" w:type="dxa"/>
            </w:tcMar>
            <w:hideMark/>
          </w:tcPr>
          <w:p w14:paraId="4FDE0EA4" w14:textId="14F2F493" w:rsidR="00D94588" w:rsidRPr="00310AA7" w:rsidRDefault="00E03FB6" w:rsidP="00E03FB6">
            <w:pPr>
              <w:rPr>
                <w:rFonts w:ascii="Arial" w:hAnsi="Arial" w:cs="Arial"/>
                <w:color w:val="FFFFFF" w:themeColor="background1"/>
                <w:sz w:val="24"/>
                <w:szCs w:val="24"/>
              </w:rPr>
            </w:pPr>
            <w:r w:rsidRPr="00310AA7">
              <w:rPr>
                <w:rFonts w:ascii="Arial" w:hAnsi="Arial" w:cs="Arial"/>
                <w:color w:val="FFFFFF" w:themeColor="background1"/>
                <w:sz w:val="24"/>
                <w:szCs w:val="24"/>
              </w:rPr>
              <w:t>Hay serios estudios sobre la incidencia que pueden tener los educadores en el desarrollo cognitivo gracias al uso de elementos visuales por parte de sus estudiantes (</w:t>
            </w:r>
            <w:proofErr w:type="spellStart"/>
            <w:r w:rsidRPr="00310AA7">
              <w:rPr>
                <w:rFonts w:ascii="Arial" w:hAnsi="Arial" w:cs="Arial"/>
                <w:color w:val="FFFFFF" w:themeColor="background1"/>
                <w:sz w:val="24"/>
                <w:szCs w:val="24"/>
              </w:rPr>
              <w:t>Presmeg</w:t>
            </w:r>
            <w:proofErr w:type="spellEnd"/>
            <w:r w:rsidRPr="00310AA7">
              <w:rPr>
                <w:rFonts w:ascii="Arial" w:hAnsi="Arial" w:cs="Arial"/>
                <w:color w:val="FFFFFF" w:themeColor="background1"/>
                <w:sz w:val="24"/>
                <w:szCs w:val="24"/>
              </w:rPr>
              <w:t xml:space="preserve">, 1986; </w:t>
            </w:r>
            <w:proofErr w:type="spellStart"/>
            <w:r w:rsidRPr="00310AA7">
              <w:rPr>
                <w:rFonts w:ascii="Arial" w:hAnsi="Arial" w:cs="Arial"/>
                <w:color w:val="FFFFFF" w:themeColor="background1"/>
                <w:sz w:val="24"/>
                <w:szCs w:val="24"/>
              </w:rPr>
              <w:t>Markovits</w:t>
            </w:r>
            <w:proofErr w:type="spellEnd"/>
            <w:r w:rsidRPr="00310AA7">
              <w:rPr>
                <w:rFonts w:ascii="Arial" w:hAnsi="Arial" w:cs="Arial"/>
                <w:color w:val="FFFFFF" w:themeColor="background1"/>
                <w:sz w:val="24"/>
                <w:szCs w:val="24"/>
              </w:rPr>
              <w:t xml:space="preserve">, Rosenfeld y </w:t>
            </w:r>
            <w:proofErr w:type="spellStart"/>
            <w:r w:rsidRPr="00310AA7">
              <w:rPr>
                <w:rFonts w:ascii="Arial" w:hAnsi="Arial" w:cs="Arial"/>
                <w:color w:val="FFFFFF" w:themeColor="background1"/>
                <w:sz w:val="24"/>
                <w:szCs w:val="24"/>
              </w:rPr>
              <w:t>Eylon</w:t>
            </w:r>
            <w:proofErr w:type="spellEnd"/>
            <w:r w:rsidRPr="00310AA7">
              <w:rPr>
                <w:rFonts w:ascii="Arial" w:hAnsi="Arial" w:cs="Arial"/>
                <w:color w:val="FFFFFF" w:themeColor="background1"/>
                <w:sz w:val="24"/>
                <w:szCs w:val="24"/>
              </w:rPr>
              <w:t>, 2006) y otros más que se interesan por el papel que juegan los materiales didácticos en entornos informáticos en el desarrollo de la visualización (</w:t>
            </w:r>
            <w:proofErr w:type="spellStart"/>
            <w:r w:rsidRPr="00310AA7">
              <w:rPr>
                <w:rFonts w:ascii="Arial" w:hAnsi="Arial" w:cs="Arial"/>
                <w:color w:val="FFFFFF" w:themeColor="background1"/>
                <w:sz w:val="24"/>
                <w:szCs w:val="24"/>
              </w:rPr>
              <w:t>Kordaky</w:t>
            </w:r>
            <w:proofErr w:type="spellEnd"/>
            <w:r w:rsidRPr="00310AA7">
              <w:rPr>
                <w:rFonts w:ascii="Arial" w:hAnsi="Arial" w:cs="Arial"/>
                <w:color w:val="FFFFFF" w:themeColor="background1"/>
                <w:sz w:val="24"/>
                <w:szCs w:val="24"/>
              </w:rPr>
              <w:t>, 2003). También hay estudios respecto a cómo los manuales escolares promueven o inciden en el aprendizaje de la visualización (Marmolejo y González, 2012).</w:t>
            </w:r>
          </w:p>
          <w:p w14:paraId="14E49C99" w14:textId="77777777" w:rsidR="00D94588" w:rsidRPr="00310AA7" w:rsidRDefault="00D94588" w:rsidP="00E03FB6">
            <w:pPr>
              <w:rPr>
                <w:rFonts w:ascii="Arial" w:hAnsi="Arial" w:cs="Arial"/>
                <w:color w:val="FFFFFF" w:themeColor="background1"/>
                <w:sz w:val="24"/>
                <w:szCs w:val="24"/>
              </w:rPr>
            </w:pPr>
            <w:r w:rsidRPr="00310AA7">
              <w:rPr>
                <w:rFonts w:ascii="Arial" w:hAnsi="Arial" w:cs="Arial"/>
                <w:color w:val="FFFFFF" w:themeColor="background1"/>
                <w:sz w:val="24"/>
                <w:szCs w:val="24"/>
              </w:rPr>
              <w:t xml:space="preserve"> </w:t>
            </w:r>
          </w:p>
        </w:tc>
      </w:tr>
    </w:tbl>
    <w:p w14:paraId="2657052D" w14:textId="736E5BFF" w:rsidR="00D94588" w:rsidRDefault="00D94588"/>
    <w:p w14:paraId="6BCC3EDE" w14:textId="77777777" w:rsidR="00D94588" w:rsidRDefault="00D94588"/>
    <w:p w14:paraId="51924C8B" w14:textId="73C4128F" w:rsidR="00D94588" w:rsidRDefault="00D94588">
      <w:hyperlink r:id="rId6" w:history="1">
        <w:r w:rsidRPr="00A0457E">
          <w:rPr>
            <w:rStyle w:val="Hipervnculo"/>
          </w:rPr>
          <w:t>https://www.youtube.com/watch?v=g56uNlPVbxg&amp;t=175s</w:t>
        </w:r>
      </w:hyperlink>
      <w:r>
        <w:t xml:space="preserve"> </w:t>
      </w:r>
    </w:p>
    <w:p w14:paraId="3A84FB7F" w14:textId="77777777" w:rsidR="00D94588" w:rsidRDefault="00D94588"/>
    <w:p w14:paraId="17270A03" w14:textId="77777777" w:rsidR="00D94588" w:rsidRDefault="00D94588"/>
    <w:p w14:paraId="5856F731" w14:textId="77777777" w:rsidR="00D94588" w:rsidRDefault="00D94588"/>
    <w:p w14:paraId="3AE3252C" w14:textId="4FB7C6EB" w:rsidR="00D94588" w:rsidRDefault="00D94588">
      <w:r>
        <w:rPr>
          <w:noProof/>
        </w:rPr>
        <w:drawing>
          <wp:anchor distT="0" distB="0" distL="114300" distR="114300" simplePos="0" relativeHeight="251658240" behindDoc="1" locked="0" layoutInCell="1" allowOverlap="1" wp14:anchorId="77DE2585" wp14:editId="79F3F4B7">
            <wp:simplePos x="0" y="0"/>
            <wp:positionH relativeFrom="margin">
              <wp:align>left</wp:align>
            </wp:positionH>
            <wp:positionV relativeFrom="paragraph">
              <wp:posOffset>-427174</wp:posOffset>
            </wp:positionV>
            <wp:extent cx="5612130" cy="3156585"/>
            <wp:effectExtent l="0" t="0" r="762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anchor>
        </w:drawing>
      </w:r>
    </w:p>
    <w:sectPr w:rsidR="00D94588" w:rsidSect="00D94588">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12A4C"/>
    <w:multiLevelType w:val="hybridMultilevel"/>
    <w:tmpl w:val="FAA2BB0E"/>
    <w:lvl w:ilvl="0" w:tplc="0409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FB"/>
    <w:rsid w:val="00123BC3"/>
    <w:rsid w:val="002253FB"/>
    <w:rsid w:val="002F5E33"/>
    <w:rsid w:val="00310AA7"/>
    <w:rsid w:val="00371362"/>
    <w:rsid w:val="003C1DF4"/>
    <w:rsid w:val="007A0E4C"/>
    <w:rsid w:val="007B62AB"/>
    <w:rsid w:val="008C21F5"/>
    <w:rsid w:val="00C0081A"/>
    <w:rsid w:val="00D94588"/>
    <w:rsid w:val="00E03FB6"/>
    <w:rsid w:val="00F20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C0E7"/>
  <w15:chartTrackingRefBased/>
  <w15:docId w15:val="{AE26CA55-7A56-4C4D-9AE0-9A44D3CE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81A"/>
    <w:pPr>
      <w:ind w:left="720"/>
      <w:contextualSpacing/>
    </w:pPr>
  </w:style>
  <w:style w:type="character" w:styleId="Hipervnculo">
    <w:name w:val="Hyperlink"/>
    <w:basedOn w:val="Fuentedeprrafopredeter"/>
    <w:uiPriority w:val="99"/>
    <w:unhideWhenUsed/>
    <w:rsid w:val="00D94588"/>
    <w:rPr>
      <w:color w:val="0563C1" w:themeColor="hyperlink"/>
      <w:u w:val="single"/>
    </w:rPr>
  </w:style>
  <w:style w:type="character" w:styleId="Mencinsinresolver">
    <w:name w:val="Unresolved Mention"/>
    <w:basedOn w:val="Fuentedeprrafopredeter"/>
    <w:uiPriority w:val="99"/>
    <w:semiHidden/>
    <w:unhideWhenUsed/>
    <w:rsid w:val="00D94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56uNlPVbxg&amp;t=175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3</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2021-05-12T19:17:00Z</dcterms:created>
  <dcterms:modified xsi:type="dcterms:W3CDTF">2021-05-14T03:14:00Z</dcterms:modified>
</cp:coreProperties>
</file>