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D02B" w14:textId="77777777" w:rsidR="009032CE" w:rsidRPr="00A46D04" w:rsidRDefault="009032CE" w:rsidP="009032CE">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15CE9CAB" wp14:editId="325D1913">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11DF0E6A" w14:textId="77777777" w:rsidR="009032CE" w:rsidRPr="00A46D04" w:rsidRDefault="009032CE" w:rsidP="009032CE">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3538B7AC" w14:textId="77777777" w:rsidR="009032CE" w:rsidRPr="00A46D04" w:rsidRDefault="009032CE" w:rsidP="009032CE">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5BEB200B" w14:textId="77777777" w:rsidR="009032CE" w:rsidRPr="00A46D04" w:rsidRDefault="009032CE" w:rsidP="009032CE">
      <w:pPr>
        <w:spacing w:after="200" w:line="276" w:lineRule="auto"/>
        <w:jc w:val="center"/>
        <w:rPr>
          <w:rFonts w:ascii="Arial" w:eastAsia="Calibri" w:hAnsi="Arial" w:cs="Arial"/>
          <w:sz w:val="28"/>
          <w:szCs w:val="28"/>
        </w:rPr>
      </w:pPr>
    </w:p>
    <w:p w14:paraId="663928AD"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39DA5727"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084E5900" w14:textId="77777777" w:rsidR="009032CE" w:rsidRPr="00A46D04" w:rsidRDefault="009032CE" w:rsidP="009032CE">
      <w:pPr>
        <w:spacing w:after="200" w:line="276" w:lineRule="auto"/>
        <w:rPr>
          <w:rFonts w:ascii="Arial" w:eastAsia="Calibri" w:hAnsi="Arial" w:cs="Arial"/>
          <w:sz w:val="28"/>
          <w:szCs w:val="28"/>
        </w:rPr>
      </w:pPr>
    </w:p>
    <w:p w14:paraId="40B902B5"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Brenda Saidaly De la Rosa Rivera</w:t>
      </w:r>
    </w:p>
    <w:p w14:paraId="14A9ABF4"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Pr="00A46D04">
        <w:rPr>
          <w:rFonts w:ascii="Arial" w:eastAsia="Calibri" w:hAnsi="Arial" w:cs="Arial"/>
          <w:sz w:val="28"/>
          <w:szCs w:val="28"/>
        </w:rPr>
        <w:t xml:space="preserve">D”   </w:t>
      </w:r>
      <w:proofErr w:type="gramEnd"/>
      <w:r w:rsidRPr="00A46D04">
        <w:rPr>
          <w:rFonts w:ascii="Arial" w:eastAsia="Calibri" w:hAnsi="Arial" w:cs="Arial"/>
          <w:sz w:val="28"/>
          <w:szCs w:val="28"/>
        </w:rPr>
        <w:t xml:space="preserve">   No. Lista: 5</w:t>
      </w:r>
    </w:p>
    <w:p w14:paraId="4C366D15"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5F03965E" w14:textId="77777777" w:rsidR="009032CE" w:rsidRPr="00A46D04" w:rsidRDefault="009032CE" w:rsidP="009032CE">
      <w:pPr>
        <w:spacing w:after="200" w:line="276" w:lineRule="auto"/>
        <w:jc w:val="center"/>
        <w:rPr>
          <w:rFonts w:ascii="Arial" w:eastAsia="Calibri" w:hAnsi="Arial" w:cs="Arial"/>
          <w:sz w:val="28"/>
          <w:szCs w:val="28"/>
        </w:rPr>
      </w:pPr>
    </w:p>
    <w:p w14:paraId="27AC88E3"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l trabajo</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210C4628" w14:textId="77777777" w:rsidR="009032CE" w:rsidRPr="00A46D04" w:rsidRDefault="009032CE" w:rsidP="009032CE">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Concepto de educación:</w:t>
      </w:r>
      <w:r w:rsidRPr="004F7B87">
        <w:rPr>
          <w:rFonts w:ascii="Arial" w:eastAsia="Calibri" w:hAnsi="Arial" w:cs="Arial"/>
          <w:color w:val="FF0000"/>
          <w:sz w:val="28"/>
          <w:szCs w:val="28"/>
        </w:rPr>
        <w:t xml:space="preserve"> La educación progresista en y la concepción pragmatista del conocimiento</w:t>
      </w:r>
      <w:r w:rsidRPr="00A46D04">
        <w:rPr>
          <w:rFonts w:ascii="Arial" w:eastAsia="Calibri" w:hAnsi="Arial" w:cs="Arial"/>
          <w:color w:val="FF0000"/>
          <w:sz w:val="28"/>
          <w:szCs w:val="28"/>
        </w:rPr>
        <w:t>”</w:t>
      </w:r>
    </w:p>
    <w:p w14:paraId="6EEC3044" w14:textId="77777777" w:rsidR="009032CE" w:rsidRPr="00A46D04" w:rsidRDefault="009032CE" w:rsidP="009032CE">
      <w:pPr>
        <w:spacing w:after="200" w:line="276" w:lineRule="auto"/>
        <w:jc w:val="center"/>
        <w:rPr>
          <w:rFonts w:ascii="Arial" w:eastAsia="Calibri" w:hAnsi="Arial" w:cs="Arial"/>
          <w:sz w:val="28"/>
          <w:szCs w:val="28"/>
        </w:rPr>
      </w:pPr>
    </w:p>
    <w:p w14:paraId="76048255" w14:textId="77777777" w:rsidR="009032CE" w:rsidRPr="00A46D04" w:rsidRDefault="009032CE" w:rsidP="009032CE">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A46D04">
        <w:rPr>
          <w:rFonts w:ascii="Arial" w:eastAsia="Calibri" w:hAnsi="Arial" w:cs="Arial"/>
          <w:b/>
          <w:bCs/>
          <w:kern w:val="36"/>
          <w:sz w:val="28"/>
          <w:szCs w:val="28"/>
          <w:lang w:eastAsia="es-MX"/>
        </w:rPr>
        <w:t xml:space="preserve">. </w:t>
      </w:r>
      <w:r w:rsidRPr="00190FAE">
        <w:rPr>
          <w:rFonts w:ascii="Arial" w:eastAsia="Calibri" w:hAnsi="Arial" w:cs="Arial"/>
          <w:b/>
          <w:bCs/>
          <w:kern w:val="36"/>
          <w:sz w:val="28"/>
          <w:szCs w:val="28"/>
          <w:lang w:eastAsia="es-MX"/>
        </w:rPr>
        <w:t>El sentido y los fines de la educación</w:t>
      </w:r>
    </w:p>
    <w:p w14:paraId="2608EACB" w14:textId="77777777" w:rsidR="009032CE" w:rsidRPr="00A46D04" w:rsidRDefault="009032CE" w:rsidP="009032CE">
      <w:pPr>
        <w:spacing w:before="30" w:after="75" w:line="240" w:lineRule="auto"/>
        <w:jc w:val="both"/>
        <w:outlineLvl w:val="0"/>
        <w:rPr>
          <w:rFonts w:ascii="Arial" w:eastAsia="Times New Roman" w:hAnsi="Arial" w:cs="Arial"/>
          <w:b/>
          <w:bCs/>
          <w:color w:val="000000"/>
          <w:kern w:val="36"/>
          <w:sz w:val="28"/>
          <w:szCs w:val="28"/>
          <w:lang w:eastAsia="es-MX"/>
        </w:rPr>
      </w:pPr>
    </w:p>
    <w:p w14:paraId="3F244796" w14:textId="77777777" w:rsidR="009032CE" w:rsidRPr="00A46D04" w:rsidRDefault="009032CE" w:rsidP="009032CE">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6DDB1729" w14:textId="77777777" w:rsidR="009032CE" w:rsidRPr="00A46D04" w:rsidRDefault="009032CE" w:rsidP="009032CE">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09147FA7" w14:textId="77777777" w:rsidR="009032CE" w:rsidRDefault="009032CE" w:rsidP="009032CE">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7271D19A" w14:textId="77777777" w:rsidR="009032CE" w:rsidRPr="00A46D04" w:rsidRDefault="009032CE" w:rsidP="009032CE">
      <w:pPr>
        <w:spacing w:after="200" w:line="254" w:lineRule="auto"/>
        <w:ind w:left="720"/>
        <w:contextualSpacing/>
        <w:rPr>
          <w:rFonts w:ascii="Arial" w:eastAsia="Calibri" w:hAnsi="Arial" w:cs="Arial"/>
          <w:sz w:val="24"/>
          <w:szCs w:val="28"/>
        </w:rPr>
      </w:pPr>
    </w:p>
    <w:p w14:paraId="1382FA08" w14:textId="77777777" w:rsidR="009032CE" w:rsidRPr="00A46D04" w:rsidRDefault="009032CE" w:rsidP="009032CE">
      <w:pPr>
        <w:spacing w:line="254" w:lineRule="auto"/>
        <w:ind w:left="720"/>
        <w:contextualSpacing/>
        <w:rPr>
          <w:rFonts w:ascii="Arial" w:eastAsia="Calibri" w:hAnsi="Arial" w:cs="Arial"/>
          <w:szCs w:val="28"/>
        </w:rPr>
      </w:pPr>
    </w:p>
    <w:p w14:paraId="22BECCC4" w14:textId="15A47FFD" w:rsidR="009032CE" w:rsidRDefault="009032CE" w:rsidP="009032CE">
      <w:pPr>
        <w:rPr>
          <w:rFonts w:ascii="Arial" w:eastAsia="Calibri" w:hAnsi="Arial" w:cs="Arial"/>
          <w:sz w:val="24"/>
        </w:rPr>
      </w:pPr>
      <w:r w:rsidRPr="00A46D04">
        <w:rPr>
          <w:rFonts w:ascii="Arial" w:eastAsia="Calibri" w:hAnsi="Arial" w:cs="Arial"/>
          <w:sz w:val="24"/>
        </w:rPr>
        <w:t xml:space="preserve">Saltillo Coahuila                                                                                   </w:t>
      </w:r>
      <w:r>
        <w:rPr>
          <w:rFonts w:ascii="Arial" w:eastAsia="Calibri" w:hAnsi="Arial" w:cs="Arial"/>
          <w:sz w:val="24"/>
        </w:rPr>
        <w:t>1</w:t>
      </w:r>
      <w:r>
        <w:rPr>
          <w:rFonts w:ascii="Arial" w:eastAsia="Calibri" w:hAnsi="Arial" w:cs="Arial"/>
          <w:sz w:val="24"/>
        </w:rPr>
        <w:t>9</w:t>
      </w:r>
      <w:r w:rsidRPr="00A46D04">
        <w:rPr>
          <w:rFonts w:ascii="Arial" w:eastAsia="Calibri" w:hAnsi="Arial" w:cs="Arial"/>
          <w:sz w:val="24"/>
        </w:rPr>
        <w:t>/0</w:t>
      </w:r>
      <w:r>
        <w:rPr>
          <w:rFonts w:ascii="Arial" w:eastAsia="Calibri" w:hAnsi="Arial" w:cs="Arial"/>
          <w:sz w:val="24"/>
        </w:rPr>
        <w:t>5</w:t>
      </w:r>
      <w:r w:rsidRPr="00A46D04">
        <w:rPr>
          <w:rFonts w:ascii="Arial" w:eastAsia="Calibri" w:hAnsi="Arial" w:cs="Arial"/>
          <w:sz w:val="24"/>
        </w:rPr>
        <w:t>/2021</w:t>
      </w:r>
    </w:p>
    <w:p w14:paraId="0CC2361A" w14:textId="77777777" w:rsidR="009032CE" w:rsidRDefault="009032CE" w:rsidP="009032CE">
      <w:pPr>
        <w:rPr>
          <w:rFonts w:ascii="Arial" w:eastAsia="Calibri" w:hAnsi="Arial" w:cs="Arial"/>
          <w:sz w:val="24"/>
        </w:rPr>
      </w:pPr>
    </w:p>
    <w:p w14:paraId="11A22E15" w14:textId="77777777" w:rsidR="009032CE" w:rsidRDefault="009032CE" w:rsidP="009032CE"/>
    <w:p w14:paraId="13DD2DBE" w14:textId="37DF8D95" w:rsidR="00C62022" w:rsidRPr="00D4363A" w:rsidRDefault="009032CE" w:rsidP="00C4626D">
      <w:pPr>
        <w:jc w:val="center"/>
        <w:rPr>
          <w:rFonts w:ascii="Arial" w:hAnsi="Arial" w:cs="Arial"/>
          <w:b/>
          <w:bCs/>
          <w:color w:val="000000"/>
          <w:sz w:val="28"/>
          <w:szCs w:val="28"/>
        </w:rPr>
      </w:pPr>
      <w:r w:rsidRPr="00D4363A">
        <w:rPr>
          <w:rFonts w:ascii="Arial" w:hAnsi="Arial" w:cs="Arial"/>
          <w:b/>
          <w:bCs/>
          <w:color w:val="000000"/>
          <w:sz w:val="28"/>
          <w:szCs w:val="28"/>
        </w:rPr>
        <w:lastRenderedPageBreak/>
        <w:t xml:space="preserve">La </w:t>
      </w:r>
      <w:r w:rsidRPr="00D4363A">
        <w:rPr>
          <w:rFonts w:ascii="Arial" w:hAnsi="Arial" w:cs="Arial"/>
          <w:b/>
          <w:bCs/>
          <w:color w:val="000000"/>
          <w:sz w:val="28"/>
          <w:szCs w:val="28"/>
        </w:rPr>
        <w:t>concepción</w:t>
      </w:r>
      <w:r w:rsidRPr="00D4363A">
        <w:rPr>
          <w:rFonts w:ascii="Arial" w:hAnsi="Arial" w:cs="Arial"/>
          <w:b/>
          <w:bCs/>
          <w:color w:val="000000"/>
          <w:sz w:val="28"/>
          <w:szCs w:val="28"/>
        </w:rPr>
        <w:t xml:space="preserve"> bancaria de la </w:t>
      </w:r>
      <w:r w:rsidRPr="00D4363A">
        <w:rPr>
          <w:rFonts w:ascii="Arial" w:hAnsi="Arial" w:cs="Arial"/>
          <w:b/>
          <w:bCs/>
          <w:color w:val="000000"/>
          <w:sz w:val="28"/>
          <w:szCs w:val="28"/>
        </w:rPr>
        <w:t>educación</w:t>
      </w:r>
      <w:r w:rsidRPr="00D4363A">
        <w:rPr>
          <w:rFonts w:ascii="Arial" w:hAnsi="Arial" w:cs="Arial"/>
          <w:b/>
          <w:bCs/>
          <w:color w:val="000000"/>
          <w:sz w:val="28"/>
          <w:szCs w:val="28"/>
        </w:rPr>
        <w:t xml:space="preserve"> y sus alternativas en Freire</w:t>
      </w:r>
    </w:p>
    <w:p w14:paraId="16476CE4" w14:textId="77777777" w:rsidR="00C4626D" w:rsidRPr="00C4626D" w:rsidRDefault="00C4626D" w:rsidP="00C4626D">
      <w:pPr>
        <w:jc w:val="center"/>
        <w:rPr>
          <w:rFonts w:ascii="Arial" w:hAnsi="Arial" w:cs="Arial"/>
          <w:b/>
          <w:bCs/>
          <w:color w:val="000000"/>
          <w:sz w:val="24"/>
          <w:szCs w:val="24"/>
        </w:rPr>
      </w:pPr>
    </w:p>
    <w:p w14:paraId="37A7CD93" w14:textId="20B26AB6" w:rsidR="009032CE" w:rsidRDefault="00C4626D">
      <w:pPr>
        <w:rPr>
          <w:rFonts w:ascii="Arial" w:hAnsi="Arial" w:cs="Arial"/>
          <w:color w:val="000000"/>
          <w:sz w:val="24"/>
          <w:szCs w:val="24"/>
        </w:rPr>
      </w:pPr>
      <w:r w:rsidRPr="00C4626D">
        <w:rPr>
          <w:rFonts w:ascii="Arial" w:hAnsi="Arial" w:cs="Arial"/>
          <w:color w:val="000000"/>
          <w:sz w:val="24"/>
          <w:szCs w:val="24"/>
          <w:highlight w:val="yellow"/>
        </w:rPr>
        <w:t>Educación bancaria</w:t>
      </w:r>
    </w:p>
    <w:p w14:paraId="7F1E997C" w14:textId="0C3B7FA1" w:rsidR="00C4626D" w:rsidRPr="00C4626D" w:rsidRDefault="00C4626D" w:rsidP="00394F7E">
      <w:pPr>
        <w:spacing w:line="276" w:lineRule="auto"/>
        <w:rPr>
          <w:rFonts w:ascii="Arial" w:hAnsi="Arial" w:cs="Arial"/>
          <w:color w:val="000000"/>
          <w:sz w:val="24"/>
          <w:szCs w:val="24"/>
        </w:rPr>
      </w:pPr>
      <w:r w:rsidRPr="00C4626D">
        <w:rPr>
          <w:rFonts w:ascii="Arial" w:hAnsi="Arial" w:cs="Arial"/>
          <w:color w:val="000000"/>
          <w:sz w:val="24"/>
          <w:szCs w:val="24"/>
        </w:rPr>
        <w:t>En la educación bancaria la contradicción es mantenida y estimulada ya que no existe liberación superadora posible. El educando, sólo un objeto en el proceso, padece pasivamente la acción de su educador.</w:t>
      </w:r>
    </w:p>
    <w:p w14:paraId="3412DAB4" w14:textId="1EA71E20" w:rsidR="00C4626D" w:rsidRPr="00C4626D" w:rsidRDefault="00C4626D" w:rsidP="00394F7E">
      <w:pPr>
        <w:spacing w:line="276" w:lineRule="auto"/>
        <w:rPr>
          <w:rFonts w:ascii="Arial" w:hAnsi="Arial" w:cs="Arial"/>
          <w:color w:val="000000"/>
          <w:sz w:val="24"/>
          <w:szCs w:val="24"/>
        </w:rPr>
      </w:pPr>
      <w:r w:rsidRPr="00C4626D">
        <w:rPr>
          <w:rFonts w:ascii="Arial" w:hAnsi="Arial" w:cs="Arial"/>
          <w:color w:val="000000"/>
          <w:sz w:val="24"/>
          <w:szCs w:val="24"/>
        </w:rPr>
        <w:t>En la concepción bancaria, el sujeto de la educación es el educador el cual conduce al educando en la memorización mecánica de los contenidos. Los educandos son así una suerte de "recipientes" en los que se "deposita" el saber.</w:t>
      </w:r>
    </w:p>
    <w:p w14:paraId="5384F24A" w14:textId="619BFA56" w:rsidR="00C4626D" w:rsidRPr="00C4626D" w:rsidRDefault="00C4626D" w:rsidP="00394F7E">
      <w:pPr>
        <w:spacing w:line="276" w:lineRule="auto"/>
        <w:rPr>
          <w:rFonts w:ascii="Arial" w:hAnsi="Arial" w:cs="Arial"/>
          <w:color w:val="000000"/>
          <w:sz w:val="24"/>
          <w:szCs w:val="24"/>
        </w:rPr>
      </w:pPr>
      <w:r w:rsidRPr="00C4626D">
        <w:rPr>
          <w:rFonts w:ascii="Arial" w:hAnsi="Arial" w:cs="Arial"/>
          <w:color w:val="000000"/>
          <w:sz w:val="24"/>
          <w:szCs w:val="24"/>
        </w:rPr>
        <w:t xml:space="preserve">El educador no se </w:t>
      </w:r>
      <w:r w:rsidRPr="00C4626D">
        <w:rPr>
          <w:rFonts w:ascii="Arial" w:hAnsi="Arial" w:cs="Arial"/>
          <w:color w:val="000000"/>
          <w:sz w:val="24"/>
          <w:szCs w:val="24"/>
        </w:rPr>
        <w:t>comunica,</w:t>
      </w:r>
      <w:r w:rsidRPr="00C4626D">
        <w:rPr>
          <w:rFonts w:ascii="Arial" w:hAnsi="Arial" w:cs="Arial"/>
          <w:color w:val="000000"/>
          <w:sz w:val="24"/>
          <w:szCs w:val="24"/>
        </w:rPr>
        <w:t xml:space="preserve"> sino que realiza depósitos que los discípulos aceptan dócilmente. El único margen de acción posible para los estudiantes es el de archivar los conocimientos.</w:t>
      </w:r>
    </w:p>
    <w:p w14:paraId="77B49B36" w14:textId="559E5604" w:rsidR="00C4626D" w:rsidRDefault="00C4626D" w:rsidP="00394F7E">
      <w:pPr>
        <w:spacing w:line="276" w:lineRule="auto"/>
        <w:rPr>
          <w:rFonts w:ascii="Arial" w:hAnsi="Arial" w:cs="Arial"/>
          <w:color w:val="000000"/>
          <w:sz w:val="24"/>
          <w:szCs w:val="24"/>
        </w:rPr>
      </w:pPr>
      <w:r w:rsidRPr="00C4626D">
        <w:rPr>
          <w:rFonts w:ascii="Arial" w:hAnsi="Arial" w:cs="Arial"/>
          <w:color w:val="000000"/>
          <w:sz w:val="24"/>
          <w:szCs w:val="24"/>
        </w:rPr>
        <w:t>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3DAC2AF5" w14:textId="3656C706" w:rsidR="00C4626D" w:rsidRDefault="00C4626D" w:rsidP="00394F7E">
      <w:pPr>
        <w:spacing w:line="276" w:lineRule="auto"/>
        <w:rPr>
          <w:rFonts w:ascii="Arial" w:hAnsi="Arial" w:cs="Arial"/>
          <w:color w:val="000000"/>
          <w:sz w:val="24"/>
          <w:szCs w:val="24"/>
        </w:rPr>
      </w:pPr>
      <w:r w:rsidRPr="00C4626D">
        <w:drawing>
          <wp:anchor distT="0" distB="0" distL="114300" distR="114300" simplePos="0" relativeHeight="251660288" behindDoc="0" locked="0" layoutInCell="1" allowOverlap="1" wp14:anchorId="7C0F4553" wp14:editId="21D508A7">
            <wp:simplePos x="0" y="0"/>
            <wp:positionH relativeFrom="margin">
              <wp:posOffset>548640</wp:posOffset>
            </wp:positionH>
            <wp:positionV relativeFrom="margin">
              <wp:posOffset>4824730</wp:posOffset>
            </wp:positionV>
            <wp:extent cx="4762500" cy="22669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762500" cy="2266950"/>
                    </a:xfrm>
                    <a:prstGeom prst="rect">
                      <a:avLst/>
                    </a:prstGeom>
                  </pic:spPr>
                </pic:pic>
              </a:graphicData>
            </a:graphic>
          </wp:anchor>
        </w:drawing>
      </w:r>
      <w:r w:rsidRPr="00C4626D">
        <w:rPr>
          <w:rFonts w:ascii="Arial" w:hAnsi="Arial" w:cs="Arial"/>
          <w:color w:val="000000"/>
          <w:sz w:val="24"/>
          <w:szCs w:val="24"/>
        </w:rPr>
        <w:t>De este modo, la educación bancaria es un instrumento de la opresión porque pretende transformar la mentalidad de los educandos y no la situación den la que se encuentran</w:t>
      </w:r>
      <w:r>
        <w:rPr>
          <w:rFonts w:ascii="Arial" w:hAnsi="Arial" w:cs="Arial"/>
          <w:color w:val="000000"/>
          <w:sz w:val="24"/>
          <w:szCs w:val="24"/>
        </w:rPr>
        <w:t>.</w:t>
      </w:r>
    </w:p>
    <w:p w14:paraId="0AAD492C" w14:textId="1B6A2A38" w:rsidR="00C4626D" w:rsidRDefault="00C4626D" w:rsidP="00C4626D">
      <w:pPr>
        <w:rPr>
          <w:rFonts w:ascii="Arial" w:hAnsi="Arial" w:cs="Arial"/>
          <w:color w:val="000000"/>
          <w:sz w:val="24"/>
          <w:szCs w:val="24"/>
        </w:rPr>
      </w:pPr>
    </w:p>
    <w:p w14:paraId="6F761938" w14:textId="3A1DF66A" w:rsidR="00C4626D" w:rsidRDefault="00C4626D">
      <w:pPr>
        <w:rPr>
          <w:rFonts w:ascii="Arial" w:hAnsi="Arial" w:cs="Arial"/>
          <w:sz w:val="24"/>
          <w:szCs w:val="24"/>
        </w:rPr>
      </w:pPr>
    </w:p>
    <w:p w14:paraId="2A83140E" w14:textId="01A524DF" w:rsidR="00C4626D" w:rsidRPr="00C4626D" w:rsidRDefault="00C4626D" w:rsidP="00C4626D">
      <w:pPr>
        <w:rPr>
          <w:rFonts w:ascii="Arial" w:hAnsi="Arial" w:cs="Arial"/>
          <w:sz w:val="24"/>
          <w:szCs w:val="24"/>
        </w:rPr>
      </w:pPr>
    </w:p>
    <w:p w14:paraId="378432F0" w14:textId="65A2F64E" w:rsidR="00C4626D" w:rsidRPr="00C4626D" w:rsidRDefault="00C4626D" w:rsidP="00C4626D">
      <w:pPr>
        <w:rPr>
          <w:rFonts w:ascii="Arial" w:hAnsi="Arial" w:cs="Arial"/>
          <w:sz w:val="24"/>
          <w:szCs w:val="24"/>
        </w:rPr>
      </w:pPr>
    </w:p>
    <w:p w14:paraId="37D000D4" w14:textId="41BC8D79" w:rsidR="00C4626D" w:rsidRPr="00C4626D" w:rsidRDefault="00C4626D" w:rsidP="00C4626D">
      <w:pPr>
        <w:rPr>
          <w:rFonts w:ascii="Arial" w:hAnsi="Arial" w:cs="Arial"/>
          <w:sz w:val="24"/>
          <w:szCs w:val="24"/>
        </w:rPr>
      </w:pPr>
    </w:p>
    <w:p w14:paraId="798C273B" w14:textId="10C9FF31" w:rsidR="00C4626D" w:rsidRPr="00C4626D" w:rsidRDefault="00C4626D" w:rsidP="00C4626D">
      <w:pPr>
        <w:rPr>
          <w:rFonts w:ascii="Arial" w:hAnsi="Arial" w:cs="Arial"/>
          <w:sz w:val="24"/>
          <w:szCs w:val="24"/>
        </w:rPr>
      </w:pPr>
    </w:p>
    <w:p w14:paraId="304FBEE9" w14:textId="7E5BCEC0" w:rsidR="00C4626D" w:rsidRPr="00C4626D" w:rsidRDefault="00C4626D" w:rsidP="00C4626D">
      <w:pPr>
        <w:rPr>
          <w:rFonts w:ascii="Arial" w:hAnsi="Arial" w:cs="Arial"/>
          <w:sz w:val="24"/>
          <w:szCs w:val="24"/>
        </w:rPr>
      </w:pPr>
    </w:p>
    <w:p w14:paraId="2317A159" w14:textId="5C95A813" w:rsidR="00C4626D" w:rsidRDefault="00C4626D" w:rsidP="00C4626D">
      <w:pPr>
        <w:rPr>
          <w:rFonts w:ascii="Arial" w:hAnsi="Arial" w:cs="Arial"/>
          <w:sz w:val="24"/>
          <w:szCs w:val="24"/>
        </w:rPr>
      </w:pPr>
    </w:p>
    <w:p w14:paraId="745DCB73" w14:textId="04B9ACB6" w:rsidR="00C4626D" w:rsidRDefault="00C4626D" w:rsidP="00C4626D">
      <w:pPr>
        <w:rPr>
          <w:rFonts w:ascii="Arial" w:hAnsi="Arial" w:cs="Arial"/>
          <w:sz w:val="24"/>
          <w:szCs w:val="24"/>
        </w:rPr>
      </w:pPr>
    </w:p>
    <w:p w14:paraId="622384E0" w14:textId="07AD7F83" w:rsidR="00D4363A" w:rsidRDefault="00D4363A" w:rsidP="00C4626D">
      <w:pPr>
        <w:rPr>
          <w:rFonts w:ascii="Arial" w:hAnsi="Arial" w:cs="Arial"/>
          <w:sz w:val="24"/>
          <w:szCs w:val="24"/>
        </w:rPr>
      </w:pPr>
    </w:p>
    <w:p w14:paraId="7958C3A2" w14:textId="4571F7A5" w:rsidR="00D4363A" w:rsidRDefault="00D4363A" w:rsidP="00C4626D">
      <w:pPr>
        <w:rPr>
          <w:rFonts w:ascii="Arial" w:hAnsi="Arial" w:cs="Arial"/>
          <w:sz w:val="24"/>
          <w:szCs w:val="24"/>
        </w:rPr>
      </w:pPr>
    </w:p>
    <w:p w14:paraId="40365AC5" w14:textId="77777777" w:rsidR="00D4363A" w:rsidRDefault="00D4363A" w:rsidP="00C4626D">
      <w:pPr>
        <w:rPr>
          <w:rFonts w:ascii="Arial" w:hAnsi="Arial" w:cs="Arial"/>
          <w:sz w:val="24"/>
          <w:szCs w:val="24"/>
        </w:rPr>
      </w:pPr>
    </w:p>
    <w:p w14:paraId="7F62AFBE" w14:textId="0D8D16CA" w:rsidR="00C4626D" w:rsidRPr="009078CB" w:rsidRDefault="001E4A4E" w:rsidP="00C4626D">
      <w:pPr>
        <w:rPr>
          <w:rFonts w:ascii="Arial" w:hAnsi="Arial" w:cs="Arial"/>
          <w:b/>
          <w:bCs/>
          <w:sz w:val="24"/>
          <w:szCs w:val="24"/>
        </w:rPr>
      </w:pPr>
      <w:r w:rsidRPr="009078CB">
        <w:rPr>
          <w:rFonts w:ascii="Arial" w:hAnsi="Arial" w:cs="Arial"/>
          <w:b/>
          <w:bCs/>
          <w:sz w:val="24"/>
          <w:szCs w:val="24"/>
        </w:rPr>
        <w:lastRenderedPageBreak/>
        <w:t>Freire señala:</w:t>
      </w:r>
    </w:p>
    <w:p w14:paraId="78AFEFAA" w14:textId="0FA43979" w:rsidR="001E4A4E" w:rsidRDefault="001E4A4E" w:rsidP="00C4626D">
      <w:pPr>
        <w:rPr>
          <w:rFonts w:ascii="Arial" w:hAnsi="Arial" w:cs="Arial"/>
          <w:sz w:val="24"/>
          <w:szCs w:val="24"/>
        </w:rPr>
      </w:pPr>
      <w:r w:rsidRPr="001E4A4E">
        <w:rPr>
          <w:rFonts w:ascii="Arial" w:hAnsi="Arial" w:cs="Arial"/>
          <w:sz w:val="24"/>
          <w:szCs w:val="24"/>
        </w:rPr>
        <w:t> </w:t>
      </w:r>
      <w:r>
        <w:rPr>
          <w:rFonts w:ascii="Arial" w:hAnsi="Arial" w:cs="Arial"/>
          <w:sz w:val="24"/>
          <w:szCs w:val="24"/>
        </w:rPr>
        <w:t>*I</w:t>
      </w:r>
      <w:r w:rsidRPr="001E4A4E">
        <w:rPr>
          <w:rFonts w:ascii="Arial" w:hAnsi="Arial" w:cs="Arial"/>
          <w:sz w:val="24"/>
          <w:szCs w:val="24"/>
        </w:rPr>
        <w:t>ncluso una educación bancaria puede despertar la reacción de los oprimidos, porque, aunque oculta, el conocimiento acumulado en los "depósitos" pone en evidencia las contradicciones. </w:t>
      </w:r>
    </w:p>
    <w:p w14:paraId="2A3D8245" w14:textId="4AC2631D" w:rsidR="001E4A4E" w:rsidRDefault="001E4A4E" w:rsidP="00C4626D">
      <w:pPr>
        <w:rPr>
          <w:rFonts w:ascii="Arial" w:hAnsi="Arial" w:cs="Arial"/>
          <w:sz w:val="24"/>
          <w:szCs w:val="24"/>
        </w:rPr>
      </w:pPr>
      <w:r>
        <w:rPr>
          <w:rFonts w:ascii="Arial" w:hAnsi="Arial" w:cs="Arial"/>
          <w:sz w:val="24"/>
          <w:szCs w:val="24"/>
        </w:rPr>
        <w:t>*U</w:t>
      </w:r>
      <w:r w:rsidRPr="001E4A4E">
        <w:rPr>
          <w:rFonts w:ascii="Arial" w:hAnsi="Arial" w:cs="Arial"/>
          <w:sz w:val="24"/>
          <w:szCs w:val="24"/>
        </w:rPr>
        <w:t>n educador humanista revolucionario no debería confiarse de esta posibilidad sino identificarse con los educandos y orientarse a la liberación de ambos.</w:t>
      </w:r>
    </w:p>
    <w:p w14:paraId="1E6127A7" w14:textId="69BFD303" w:rsidR="001E4A4E" w:rsidRDefault="001E4A4E" w:rsidP="00C4626D">
      <w:pPr>
        <w:rPr>
          <w:rFonts w:ascii="Arial" w:hAnsi="Arial" w:cs="Arial"/>
          <w:sz w:val="24"/>
          <w:szCs w:val="24"/>
        </w:rPr>
      </w:pPr>
      <w:r>
        <w:rPr>
          <w:rFonts w:ascii="Arial" w:hAnsi="Arial" w:cs="Arial"/>
          <w:sz w:val="24"/>
          <w:szCs w:val="24"/>
        </w:rPr>
        <w:t>*T</w:t>
      </w:r>
      <w:r w:rsidRPr="001E4A4E">
        <w:rPr>
          <w:rFonts w:ascii="Arial" w:hAnsi="Arial" w:cs="Arial"/>
          <w:sz w:val="24"/>
          <w:szCs w:val="24"/>
        </w:rPr>
        <w:t>anto el educador como los educandos, así como también los líderes y las masas, se encuentran involucrados en una tarea en la que ambos deberían ser sujetos.</w:t>
      </w:r>
    </w:p>
    <w:p w14:paraId="7F0F004A" w14:textId="134F8A94" w:rsidR="001E4A4E" w:rsidRDefault="001E4A4E" w:rsidP="00C4626D">
      <w:pPr>
        <w:rPr>
          <w:rFonts w:ascii="Arial" w:hAnsi="Arial" w:cs="Arial"/>
          <w:sz w:val="24"/>
          <w:szCs w:val="24"/>
        </w:rPr>
      </w:pPr>
      <w:r w:rsidRPr="001E4A4E">
        <w:rPr>
          <w:rFonts w:ascii="Arial" w:hAnsi="Arial" w:cs="Arial"/>
          <w:sz w:val="24"/>
          <w:szCs w:val="24"/>
        </w:rPr>
        <w:t> </w:t>
      </w:r>
      <w:r>
        <w:rPr>
          <w:rFonts w:ascii="Arial" w:hAnsi="Arial" w:cs="Arial"/>
          <w:sz w:val="24"/>
          <w:szCs w:val="24"/>
        </w:rPr>
        <w:t>*N</w:t>
      </w:r>
      <w:r w:rsidRPr="001E4A4E">
        <w:rPr>
          <w:rFonts w:ascii="Arial" w:hAnsi="Arial" w:cs="Arial"/>
          <w:sz w:val="24"/>
          <w:szCs w:val="24"/>
        </w:rPr>
        <w:t>o se trata tan solo de descubrir y comprender críticamente sino también de recrear el conocimiento. De esta manera, la presencia de los oprimidos en la búsqueda de su liberación deberá entenderse como compromiso.</w:t>
      </w:r>
    </w:p>
    <w:p w14:paraId="388168A4" w14:textId="77777777" w:rsidR="001E4A4E" w:rsidRPr="00C4626D" w:rsidRDefault="001E4A4E" w:rsidP="00C4626D">
      <w:pPr>
        <w:rPr>
          <w:rFonts w:ascii="Arial" w:hAnsi="Arial" w:cs="Arial"/>
          <w:sz w:val="24"/>
          <w:szCs w:val="24"/>
        </w:rPr>
      </w:pPr>
    </w:p>
    <w:sectPr w:rsidR="001E4A4E" w:rsidRPr="00C4626D" w:rsidSect="009032CE">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CE"/>
    <w:rsid w:val="001E4A4E"/>
    <w:rsid w:val="00394F7E"/>
    <w:rsid w:val="009032CE"/>
    <w:rsid w:val="009078CB"/>
    <w:rsid w:val="00C4626D"/>
    <w:rsid w:val="00C62022"/>
    <w:rsid w:val="00D43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026F"/>
  <w15:chartTrackingRefBased/>
  <w15:docId w15:val="{E2F29D6E-8009-45A6-A633-34F86309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C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2292</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6</cp:revision>
  <dcterms:created xsi:type="dcterms:W3CDTF">2021-05-19T20:04:00Z</dcterms:created>
  <dcterms:modified xsi:type="dcterms:W3CDTF">2021-05-19T20:11:00Z</dcterms:modified>
</cp:coreProperties>
</file>