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198C3"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ESCUELA NORMAL DE EDUCACIÓN PREESCOLAR.</w:t>
      </w:r>
    </w:p>
    <w:p w14:paraId="445E3FE4"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LICENCIATURA EN EDUCACIÓN PREESCOLAR</w:t>
      </w:r>
    </w:p>
    <w:p w14:paraId="6EC5D981" w14:textId="1AC4890D" w:rsidR="00F32D6F" w:rsidRDefault="00F32D6F" w:rsidP="00F32D6F">
      <w:pPr>
        <w:spacing w:after="0"/>
        <w:jc w:val="center"/>
        <w:rPr>
          <w:rFonts w:ascii="Modern Love Caps" w:hAnsi="Modern Love Caps"/>
          <w:sz w:val="32"/>
          <w:szCs w:val="32"/>
        </w:rPr>
      </w:pPr>
      <w:r>
        <w:rPr>
          <w:noProof/>
        </w:rPr>
        <w:drawing>
          <wp:inline distT="0" distB="0" distL="0" distR="0" wp14:anchorId="76F8A151" wp14:editId="48450458">
            <wp:extent cx="1847850" cy="1524000"/>
            <wp:effectExtent l="0" t="0" r="0" b="0"/>
            <wp:docPr id="1" name="Imagen 1" descr="Resultado de imagen para escudo de la enep">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Resultado de imagen para escudo de la enep">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524000"/>
                    </a:xfrm>
                    <a:prstGeom prst="rect">
                      <a:avLst/>
                    </a:prstGeom>
                    <a:noFill/>
                    <a:ln>
                      <a:noFill/>
                    </a:ln>
                  </pic:spPr>
                </pic:pic>
              </a:graphicData>
            </a:graphic>
          </wp:inline>
        </w:drawing>
      </w:r>
    </w:p>
    <w:p w14:paraId="3736153D"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CICLO ESCOLAR 2020-2021</w:t>
      </w:r>
    </w:p>
    <w:p w14:paraId="30D983E0"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ASIGNATURA: OPTATIVO</w:t>
      </w:r>
    </w:p>
    <w:p w14:paraId="23A5037D"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MAESTRO: JOEL RODRIGUEZ PINAL</w:t>
      </w:r>
    </w:p>
    <w:p w14:paraId="0C83A775"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TRABAJO: EL CONCEPTO DE EDUCACIÓN</w:t>
      </w:r>
    </w:p>
    <w:p w14:paraId="31BBED33"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ALUMNA: FLORES ALVIZO SANDRA GUADALUPE #7</w:t>
      </w:r>
    </w:p>
    <w:p w14:paraId="11879220"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CUARTO SEMESTRE SECCIÓN” D”</w:t>
      </w:r>
    </w:p>
    <w:p w14:paraId="18FD8BE0"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UNIDAD DE APRENDIZAJE II. EL SENTIDO Y LOS FINES DE LA</w:t>
      </w:r>
    </w:p>
    <w:p w14:paraId="51EBD755"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EDUCACIÓN.</w:t>
      </w:r>
    </w:p>
    <w:p w14:paraId="5FB0B23E"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 Actúa de manera ética ante la diversidad de situaciones que se</w:t>
      </w:r>
    </w:p>
    <w:p w14:paraId="18B2D09D"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presentan en la práctica profesional.</w:t>
      </w:r>
    </w:p>
    <w:p w14:paraId="1EF9D394"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 Integra recursos de la investigación educativa para enriquecer</w:t>
      </w:r>
    </w:p>
    <w:p w14:paraId="7136A59C"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su práctica profesional, expresando su interés por el</w:t>
      </w:r>
    </w:p>
    <w:p w14:paraId="587C5180"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conocimiento, la ciencia y la mejora de la educación.</w:t>
      </w:r>
    </w:p>
    <w:p w14:paraId="344F70D8" w14:textId="77777777" w:rsidR="00F32D6F" w:rsidRDefault="00F32D6F" w:rsidP="00F32D6F">
      <w:pPr>
        <w:spacing w:after="0"/>
        <w:jc w:val="center"/>
        <w:rPr>
          <w:rFonts w:ascii="Modern Love Caps" w:hAnsi="Modern Love Caps"/>
          <w:sz w:val="32"/>
          <w:szCs w:val="32"/>
        </w:rPr>
      </w:pPr>
    </w:p>
    <w:p w14:paraId="66A8E409" w14:textId="77777777" w:rsidR="00F32D6F" w:rsidRDefault="00F32D6F" w:rsidP="00F32D6F">
      <w:pPr>
        <w:spacing w:after="0"/>
        <w:jc w:val="center"/>
        <w:rPr>
          <w:rFonts w:ascii="Modern Love Caps" w:hAnsi="Modern Love Caps"/>
          <w:sz w:val="32"/>
          <w:szCs w:val="32"/>
        </w:rPr>
      </w:pPr>
      <w:r>
        <w:rPr>
          <w:rFonts w:ascii="Modern Love Caps" w:hAnsi="Modern Love Caps"/>
          <w:sz w:val="32"/>
          <w:szCs w:val="32"/>
        </w:rPr>
        <w:t>SALTILLO, COAH. MAYO 2021</w:t>
      </w:r>
    </w:p>
    <w:p w14:paraId="784117BD" w14:textId="77777777" w:rsidR="00F32D6F" w:rsidRDefault="00F32D6F" w:rsidP="00F32D6F">
      <w:pPr>
        <w:spacing w:after="0"/>
        <w:jc w:val="center"/>
        <w:rPr>
          <w:rFonts w:ascii="Modern Love Caps" w:hAnsi="Modern Love Caps"/>
          <w:sz w:val="32"/>
          <w:szCs w:val="32"/>
        </w:rPr>
      </w:pPr>
    </w:p>
    <w:p w14:paraId="3A8CCCD1" w14:textId="00CA6C7A" w:rsidR="00F32D6F" w:rsidRDefault="00F32D6F"/>
    <w:p w14:paraId="70B032FF" w14:textId="385379FB" w:rsidR="00F32D6F" w:rsidRDefault="00B05D96">
      <w:r>
        <w:rPr>
          <w:noProof/>
        </w:rPr>
        <w:lastRenderedPageBreak/>
        <mc:AlternateContent>
          <mc:Choice Requires="wps">
            <w:drawing>
              <wp:anchor distT="0" distB="0" distL="114300" distR="114300" simplePos="0" relativeHeight="251659264" behindDoc="0" locked="0" layoutInCell="1" allowOverlap="1" wp14:anchorId="3989D147" wp14:editId="07FF71F5">
                <wp:simplePos x="0" y="0"/>
                <wp:positionH relativeFrom="margin">
                  <wp:posOffset>-394335</wp:posOffset>
                </wp:positionH>
                <wp:positionV relativeFrom="paragraph">
                  <wp:posOffset>-366395</wp:posOffset>
                </wp:positionV>
                <wp:extent cx="6334125" cy="9620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334125" cy="962025"/>
                        </a:xfrm>
                        <a:prstGeom prst="rect">
                          <a:avLst/>
                        </a:prstGeom>
                        <a:noFill/>
                        <a:ln w="6350">
                          <a:noFill/>
                        </a:ln>
                      </wps:spPr>
                      <wps:txbx>
                        <w:txbxContent>
                          <w:p w14:paraId="03779B0E" w14:textId="64E8CA5C" w:rsidR="00F32D6F" w:rsidRPr="00F32D6F" w:rsidRDefault="00F32D6F" w:rsidP="00F32D6F">
                            <w:pPr>
                              <w:jc w:val="center"/>
                              <w:rPr>
                                <w:rFonts w:ascii="balloons" w:hAnsi="balloons"/>
                                <w:color w:val="0D0D0D" w:themeColor="text1" w:themeTint="F2"/>
                                <w:sz w:val="56"/>
                                <w:szCs w:val="56"/>
                                <w14:textOutline w14:w="3175" w14:cap="rnd" w14:cmpd="sng" w14:algn="ctr">
                                  <w14:solidFill>
                                    <w14:schemeClr w14:val="tx1"/>
                                  </w14:solidFill>
                                  <w14:prstDash w14:val="solid"/>
                                  <w14:bevel/>
                                </w14:textOutline>
                              </w:rPr>
                            </w:pPr>
                            <w:r w:rsidRPr="00F32D6F">
                              <w:rPr>
                                <w:rFonts w:ascii="balloons" w:hAnsi="balloons"/>
                                <w:color w:val="0D0D0D" w:themeColor="text1" w:themeTint="F2"/>
                                <w:sz w:val="56"/>
                                <w:szCs w:val="56"/>
                                <w14:textOutline w14:w="3175" w14:cap="rnd" w14:cmpd="sng" w14:algn="ctr">
                                  <w14:solidFill>
                                    <w14:schemeClr w14:val="tx1"/>
                                  </w14:solidFill>
                                  <w14:prstDash w14:val="solid"/>
                                  <w14:bevel/>
                                </w14:textOutline>
                              </w:rPr>
                              <w:t xml:space="preserve">La </w:t>
                            </w:r>
                            <w:r w:rsidRPr="00F32D6F">
                              <w:rPr>
                                <w:rFonts w:ascii="balloons" w:hAnsi="balloons"/>
                                <w:color w:val="0D0D0D" w:themeColor="text1" w:themeTint="F2"/>
                                <w:sz w:val="56"/>
                                <w:szCs w:val="56"/>
                                <w14:textOutline w14:w="3175" w14:cap="rnd" w14:cmpd="sng" w14:algn="ctr">
                                  <w14:solidFill>
                                    <w14:schemeClr w14:val="tx1"/>
                                  </w14:solidFill>
                                  <w14:prstDash w14:val="solid"/>
                                  <w14:bevel/>
                                </w14:textOutline>
                              </w:rPr>
                              <w:t>concepción</w:t>
                            </w:r>
                            <w:r w:rsidRPr="00F32D6F">
                              <w:rPr>
                                <w:rFonts w:ascii="balloons" w:hAnsi="balloons"/>
                                <w:color w:val="0D0D0D" w:themeColor="text1" w:themeTint="F2"/>
                                <w:sz w:val="56"/>
                                <w:szCs w:val="56"/>
                                <w14:textOutline w14:w="3175" w14:cap="rnd" w14:cmpd="sng" w14:algn="ctr">
                                  <w14:solidFill>
                                    <w14:schemeClr w14:val="tx1"/>
                                  </w14:solidFill>
                                  <w14:prstDash w14:val="solid"/>
                                  <w14:bevel/>
                                </w14:textOutline>
                              </w:rPr>
                              <w:t xml:space="preserve"> bancaria de la </w:t>
                            </w:r>
                            <w:r w:rsidRPr="00F32D6F">
                              <w:rPr>
                                <w:rFonts w:ascii="balloons" w:hAnsi="balloons"/>
                                <w:color w:val="0D0D0D" w:themeColor="text1" w:themeTint="F2"/>
                                <w:sz w:val="56"/>
                                <w:szCs w:val="56"/>
                                <w14:textOutline w14:w="3175" w14:cap="rnd" w14:cmpd="sng" w14:algn="ctr">
                                  <w14:solidFill>
                                    <w14:schemeClr w14:val="tx1"/>
                                  </w14:solidFill>
                                  <w14:prstDash w14:val="solid"/>
                                  <w14:bevel/>
                                </w14:textOutline>
                              </w:rPr>
                              <w:t>educación</w:t>
                            </w:r>
                            <w:r w:rsidRPr="00F32D6F">
                              <w:rPr>
                                <w:rFonts w:ascii="balloons" w:hAnsi="balloons"/>
                                <w:color w:val="0D0D0D" w:themeColor="text1" w:themeTint="F2"/>
                                <w:sz w:val="56"/>
                                <w:szCs w:val="56"/>
                                <w14:textOutline w14:w="3175" w14:cap="rnd" w14:cmpd="sng" w14:algn="ctr">
                                  <w14:solidFill>
                                    <w14:schemeClr w14:val="tx1"/>
                                  </w14:solidFill>
                                  <w14:prstDash w14:val="solid"/>
                                  <w14:bevel/>
                                </w14:textOutline>
                              </w:rPr>
                              <w:t xml:space="preserve"> y sus alternativas en Freire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147" id="_x0000_t202" coordsize="21600,21600" o:spt="202" path="m,l,21600r21600,l21600,xe">
                <v:stroke joinstyle="miter"/>
                <v:path gradientshapeok="t" o:connecttype="rect"/>
              </v:shapetype>
              <v:shape id="Cuadro de texto 3" o:spid="_x0000_s1026" type="#_x0000_t202" style="position:absolute;margin-left:-31.05pt;margin-top:-28.85pt;width:498.7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" filled="f" stroked="f" strokeweight=".5pt">
                <v:textbox>
                  <w:txbxContent>
                    <w:p w14:paraId="03779B0E" w14:textId="64E8CA5C" w:rsidR="00F32D6F" w:rsidRPr="00F32D6F" w:rsidRDefault="00F32D6F" w:rsidP="00F32D6F">
                      <w:pPr>
                        <w:jc w:val="center"/>
                        <w:rPr>
                          <w:rFonts w:ascii="balloons" w:hAnsi="balloons"/>
                          <w:color w:val="0D0D0D" w:themeColor="text1" w:themeTint="F2"/>
                          <w:sz w:val="56"/>
                          <w:szCs w:val="56"/>
                          <w14:textOutline w14:w="3175" w14:cap="rnd" w14:cmpd="sng" w14:algn="ctr">
                            <w14:solidFill>
                              <w14:schemeClr w14:val="tx1"/>
                            </w14:solidFill>
                            <w14:prstDash w14:val="solid"/>
                            <w14:bevel/>
                          </w14:textOutline>
                        </w:rPr>
                      </w:pPr>
                      <w:r w:rsidRPr="00F32D6F">
                        <w:rPr>
                          <w:rFonts w:ascii="balloons" w:hAnsi="balloons"/>
                          <w:color w:val="0D0D0D" w:themeColor="text1" w:themeTint="F2"/>
                          <w:sz w:val="56"/>
                          <w:szCs w:val="56"/>
                          <w14:textOutline w14:w="3175" w14:cap="rnd" w14:cmpd="sng" w14:algn="ctr">
                            <w14:solidFill>
                              <w14:schemeClr w14:val="tx1"/>
                            </w14:solidFill>
                            <w14:prstDash w14:val="solid"/>
                            <w14:bevel/>
                          </w14:textOutline>
                        </w:rPr>
                        <w:t xml:space="preserve">La </w:t>
                      </w:r>
                      <w:r w:rsidRPr="00F32D6F">
                        <w:rPr>
                          <w:rFonts w:ascii="balloons" w:hAnsi="balloons"/>
                          <w:color w:val="0D0D0D" w:themeColor="text1" w:themeTint="F2"/>
                          <w:sz w:val="56"/>
                          <w:szCs w:val="56"/>
                          <w14:textOutline w14:w="3175" w14:cap="rnd" w14:cmpd="sng" w14:algn="ctr">
                            <w14:solidFill>
                              <w14:schemeClr w14:val="tx1"/>
                            </w14:solidFill>
                            <w14:prstDash w14:val="solid"/>
                            <w14:bevel/>
                          </w14:textOutline>
                        </w:rPr>
                        <w:t>concepción</w:t>
                      </w:r>
                      <w:r w:rsidRPr="00F32D6F">
                        <w:rPr>
                          <w:rFonts w:ascii="balloons" w:hAnsi="balloons"/>
                          <w:color w:val="0D0D0D" w:themeColor="text1" w:themeTint="F2"/>
                          <w:sz w:val="56"/>
                          <w:szCs w:val="56"/>
                          <w14:textOutline w14:w="3175" w14:cap="rnd" w14:cmpd="sng" w14:algn="ctr">
                            <w14:solidFill>
                              <w14:schemeClr w14:val="tx1"/>
                            </w14:solidFill>
                            <w14:prstDash w14:val="solid"/>
                            <w14:bevel/>
                          </w14:textOutline>
                        </w:rPr>
                        <w:t xml:space="preserve"> bancaria de la </w:t>
                      </w:r>
                      <w:r w:rsidRPr="00F32D6F">
                        <w:rPr>
                          <w:rFonts w:ascii="balloons" w:hAnsi="balloons"/>
                          <w:color w:val="0D0D0D" w:themeColor="text1" w:themeTint="F2"/>
                          <w:sz w:val="56"/>
                          <w:szCs w:val="56"/>
                          <w14:textOutline w14:w="3175" w14:cap="rnd" w14:cmpd="sng" w14:algn="ctr">
                            <w14:solidFill>
                              <w14:schemeClr w14:val="tx1"/>
                            </w14:solidFill>
                            <w14:prstDash w14:val="solid"/>
                            <w14:bevel/>
                          </w14:textOutline>
                        </w:rPr>
                        <w:t>educación</w:t>
                      </w:r>
                      <w:r w:rsidRPr="00F32D6F">
                        <w:rPr>
                          <w:rFonts w:ascii="balloons" w:hAnsi="balloons"/>
                          <w:color w:val="0D0D0D" w:themeColor="text1" w:themeTint="F2"/>
                          <w:sz w:val="56"/>
                          <w:szCs w:val="56"/>
                          <w14:textOutline w14:w="3175" w14:cap="rnd" w14:cmpd="sng" w14:algn="ctr">
                            <w14:solidFill>
                              <w14:schemeClr w14:val="tx1"/>
                            </w14:solidFill>
                            <w14:prstDash w14:val="solid"/>
                            <w14:bevel/>
                          </w14:textOutline>
                        </w:rPr>
                        <w:t xml:space="preserve"> y sus alternativas en Freire</w:t>
                      </w:r>
                    </w:p>
                  </w:txbxContent>
                </v:textbox>
                <w10:wrap anchorx="margin"/>
              </v:shape>
            </w:pict>
          </mc:Fallback>
        </mc:AlternateContent>
      </w:r>
      <w:r>
        <w:rPr>
          <w:noProof/>
        </w:rPr>
        <w:drawing>
          <wp:anchor distT="0" distB="0" distL="114300" distR="114300" simplePos="0" relativeHeight="251658240" behindDoc="0" locked="0" layoutInCell="1" allowOverlap="1" wp14:anchorId="56E2FB16" wp14:editId="4C690E49">
            <wp:simplePos x="0" y="0"/>
            <wp:positionH relativeFrom="margin">
              <wp:align>center</wp:align>
            </wp:positionH>
            <wp:positionV relativeFrom="paragraph">
              <wp:posOffset>-585470</wp:posOffset>
            </wp:positionV>
            <wp:extent cx="7038975" cy="159067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3897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FB8A94" w14:textId="50B341F5" w:rsidR="00F32D6F" w:rsidRDefault="00F32D6F"/>
    <w:p w14:paraId="07F62C6C" w14:textId="0A12EB9A" w:rsidR="00F32D6F" w:rsidRDefault="00F32D6F"/>
    <w:p w14:paraId="5CA95A47" w14:textId="1537943C" w:rsidR="00F32D6F" w:rsidRDefault="00F32D6F" w:rsidP="002829A5">
      <w:pPr>
        <w:pStyle w:val="NormalWeb"/>
        <w:spacing w:line="360" w:lineRule="auto"/>
        <w:rPr>
          <w:rFonts w:ascii="Roboto" w:hAnsi="Roboto"/>
          <w:color w:val="000000"/>
        </w:rPr>
      </w:pPr>
      <w:r>
        <w:rPr>
          <w:rFonts w:ascii="Roboto" w:hAnsi="Roboto"/>
          <w:color w:val="000000"/>
        </w:rPr>
        <w:t xml:space="preserve">En la educación bancaria la contradicción es mantenida y estimulada ya que no existe liberación superadora posible. El educando, sólo un objeto en el </w:t>
      </w:r>
      <w:r w:rsidR="002829A5">
        <w:rPr>
          <w:rFonts w:ascii="Roboto" w:hAnsi="Roboto"/>
          <w:color w:val="000000"/>
        </w:rPr>
        <w:t>proceso</w:t>
      </w:r>
      <w:r>
        <w:rPr>
          <w:rFonts w:ascii="Roboto" w:hAnsi="Roboto"/>
          <w:color w:val="000000"/>
        </w:rPr>
        <w:t xml:space="preserve"> padece pasivamente la acción de su educador.</w:t>
      </w:r>
    </w:p>
    <w:p w14:paraId="67F932ED" w14:textId="77777777" w:rsidR="00F32D6F" w:rsidRDefault="00F32D6F" w:rsidP="002829A5">
      <w:pPr>
        <w:pStyle w:val="NormalWeb"/>
        <w:spacing w:line="360" w:lineRule="auto"/>
        <w:rPr>
          <w:rFonts w:ascii="Roboto" w:hAnsi="Roboto"/>
          <w:color w:val="000000"/>
        </w:rPr>
      </w:pPr>
      <w:r>
        <w:rPr>
          <w:rFonts w:ascii="Roboto" w:hAnsi="Roboto"/>
          <w:color w:val="000000"/>
        </w:rPr>
        <w:t>En la concepción bancaria, el sujeto de la educación es el educador el cual conduce al educando en la memorización mecánica de los contenidos. Los educandos son así una suerte de "recipientes" en los que se "deposita" el saber.</w:t>
      </w:r>
    </w:p>
    <w:p w14:paraId="5E23A5D5" w14:textId="333BE735" w:rsidR="00F32D6F" w:rsidRDefault="00F32D6F" w:rsidP="002829A5">
      <w:pPr>
        <w:pStyle w:val="NormalWeb"/>
        <w:spacing w:line="360" w:lineRule="auto"/>
        <w:rPr>
          <w:rFonts w:ascii="Roboto" w:hAnsi="Roboto"/>
          <w:color w:val="000000"/>
        </w:rPr>
      </w:pPr>
      <w:r>
        <w:rPr>
          <w:rFonts w:ascii="Roboto" w:hAnsi="Roboto"/>
          <w:color w:val="000000"/>
        </w:rPr>
        <w:t xml:space="preserve">El educador no se </w:t>
      </w:r>
      <w:r w:rsidR="002829A5">
        <w:rPr>
          <w:rFonts w:ascii="Roboto" w:hAnsi="Roboto"/>
          <w:color w:val="000000"/>
        </w:rPr>
        <w:t>comunica,</w:t>
      </w:r>
      <w:r>
        <w:rPr>
          <w:rFonts w:ascii="Roboto" w:hAnsi="Roboto"/>
          <w:color w:val="000000"/>
        </w:rPr>
        <w:t xml:space="preserve"> sino que realiza depósitos que los discípulos aceptan dócilmente. El único margen de acción posible para los estudiantes es el de archivar los conocimientos.</w:t>
      </w:r>
    </w:p>
    <w:p w14:paraId="1C21A5B0" w14:textId="4AAEE76A" w:rsidR="002829A5" w:rsidRDefault="002829A5" w:rsidP="002829A5">
      <w:pPr>
        <w:pStyle w:val="NormalWeb"/>
        <w:spacing w:line="360" w:lineRule="auto"/>
        <w:rPr>
          <w:rFonts w:ascii="Roboto" w:hAnsi="Roboto"/>
          <w:color w:val="000000"/>
        </w:rPr>
      </w:pPr>
      <w:r w:rsidRPr="002829A5">
        <w:rPr>
          <w:rFonts w:ascii="Roboto" w:hAnsi="Roboto"/>
          <w:color w:val="000000"/>
        </w:rPr>
        <w:t>En la educación bancaria hay dos tipos de sujetos diferenciados, el educador y el educando</w:t>
      </w:r>
      <w:r>
        <w:rPr>
          <w:rFonts w:ascii="Roboto" w:hAnsi="Roboto"/>
          <w:color w:val="000000"/>
        </w:rPr>
        <w:t xml:space="preserve"> </w:t>
      </w:r>
      <w:r w:rsidRPr="002829A5">
        <w:rPr>
          <w:rFonts w:ascii="Roboto" w:hAnsi="Roboto"/>
          <w:color w:val="000000"/>
        </w:rPr>
        <w:t>(el que es “educado”). El educador es el que sabe, el único que posee conocimientos. Es el que transmite sus conocimientos al educando. El educando recibe todos los conocimientos del educador, sin participar en el proceso, digamos que es como un archivador, en el que se depositan todo tipo de datos, que este va archivando.</w:t>
      </w:r>
      <w:r>
        <w:rPr>
          <w:rFonts w:ascii="Roboto" w:hAnsi="Roboto"/>
          <w:color w:val="000000"/>
        </w:rPr>
        <w:t xml:space="preserve"> </w:t>
      </w:r>
      <w:r w:rsidRPr="002829A5">
        <w:rPr>
          <w:rFonts w:ascii="Roboto" w:hAnsi="Roboto"/>
          <w:color w:val="000000"/>
        </w:rPr>
        <w:t xml:space="preserve">Esta educación se refiere a la realidad como algo estático, detenido, dividido, con contenidos totalmente ajenos al </w:t>
      </w:r>
      <w:r w:rsidRPr="002829A5">
        <w:rPr>
          <w:rFonts w:ascii="Roboto" w:hAnsi="Roboto"/>
          <w:color w:val="000000"/>
        </w:rPr>
        <w:t>educando</w:t>
      </w:r>
      <w:r w:rsidRPr="002829A5">
        <w:rPr>
          <w:rFonts w:ascii="Roboto" w:hAnsi="Roboto"/>
          <w:color w:val="000000"/>
        </w:rPr>
        <w:t>.</w:t>
      </w:r>
    </w:p>
    <w:p w14:paraId="32F09990" w14:textId="5DDC5C26" w:rsidR="002829A5" w:rsidRDefault="002829A5" w:rsidP="002829A5">
      <w:pPr>
        <w:pStyle w:val="NormalWeb"/>
        <w:spacing w:line="360" w:lineRule="auto"/>
        <w:rPr>
          <w:rFonts w:ascii="Roboto" w:hAnsi="Roboto"/>
          <w:color w:val="000000"/>
        </w:rPr>
      </w:pPr>
      <w:r w:rsidRPr="002829A5">
        <w:rPr>
          <w:rFonts w:ascii="Roboto" w:hAnsi="Roboto"/>
          <w:color w:val="000000"/>
        </w:rPr>
        <w:t xml:space="preserve">El aprendizaje consiste en la memorización mecánica de los contenidos con los que son llenados los estudiantes. Cuanto </w:t>
      </w:r>
      <w:r w:rsidRPr="002829A5">
        <w:rPr>
          <w:rFonts w:ascii="Roboto" w:hAnsi="Roboto"/>
          <w:color w:val="000000"/>
        </w:rPr>
        <w:t>más</w:t>
      </w:r>
      <w:r w:rsidRPr="002829A5">
        <w:rPr>
          <w:rFonts w:ascii="Roboto" w:hAnsi="Roboto"/>
          <w:color w:val="000000"/>
        </w:rPr>
        <w:t xml:space="preserve"> se dejen </w:t>
      </w:r>
      <w:r w:rsidRPr="002829A5">
        <w:rPr>
          <w:rFonts w:ascii="Roboto" w:hAnsi="Roboto"/>
          <w:color w:val="000000"/>
        </w:rPr>
        <w:t>llenar,</w:t>
      </w:r>
      <w:r w:rsidRPr="002829A5">
        <w:rPr>
          <w:rFonts w:ascii="Roboto" w:hAnsi="Roboto"/>
          <w:color w:val="000000"/>
        </w:rPr>
        <w:t xml:space="preserve"> mejores educandos serán. En vez de comunicarse, el educador hace comunicados que el </w:t>
      </w:r>
      <w:r w:rsidRPr="002829A5">
        <w:rPr>
          <w:rFonts w:ascii="Roboto" w:hAnsi="Roboto"/>
          <w:color w:val="000000"/>
        </w:rPr>
        <w:t>educando</w:t>
      </w:r>
      <w:r w:rsidRPr="002829A5">
        <w:rPr>
          <w:rFonts w:ascii="Roboto" w:hAnsi="Roboto"/>
          <w:color w:val="000000"/>
        </w:rPr>
        <w:t xml:space="preserve"> memoriza y repite. Educadores y educandos se archivan en la medida en que no existe creatividad alguna, ni transformación, ni saber. </w:t>
      </w:r>
    </w:p>
    <w:p w14:paraId="4FE99E04" w14:textId="32A0E108" w:rsidR="002829A5" w:rsidRDefault="002829A5" w:rsidP="002829A5">
      <w:pPr>
        <w:pStyle w:val="NormalWeb"/>
        <w:spacing w:line="360" w:lineRule="auto"/>
        <w:rPr>
          <w:rFonts w:ascii="Roboto" w:hAnsi="Roboto"/>
          <w:color w:val="000000"/>
        </w:rPr>
      </w:pPr>
      <w:r>
        <w:rPr>
          <w:rFonts w:ascii="Roboto" w:hAnsi="Roboto"/>
          <w:color w:val="000000"/>
        </w:rPr>
        <w:t>E</w:t>
      </w:r>
      <w:r w:rsidRPr="002829A5">
        <w:rPr>
          <w:rFonts w:ascii="Roboto" w:hAnsi="Roboto"/>
          <w:color w:val="000000"/>
        </w:rPr>
        <w:t xml:space="preserve">n la visión bancaria de la educación, el conocimiento es una donación de aquellos que se juzgan sabios a los que se juzgan ignorantes. Donación que se basa en una </w:t>
      </w:r>
      <w:r w:rsidRPr="002829A5">
        <w:rPr>
          <w:rFonts w:ascii="Roboto" w:hAnsi="Roboto"/>
          <w:color w:val="000000"/>
        </w:rPr>
        <w:lastRenderedPageBreak/>
        <w:t xml:space="preserve">de las manifestaciones instrumentales de la ideología de la opresión: la </w:t>
      </w:r>
      <w:r w:rsidRPr="002829A5">
        <w:rPr>
          <w:rFonts w:ascii="Roboto" w:hAnsi="Roboto"/>
          <w:color w:val="000000"/>
        </w:rPr>
        <w:t>absolutización</w:t>
      </w:r>
      <w:r w:rsidRPr="002829A5">
        <w:rPr>
          <w:rFonts w:ascii="Roboto" w:hAnsi="Roboto"/>
          <w:color w:val="000000"/>
        </w:rPr>
        <w:t xml:space="preserve"> de la ignorancia según la cual esta se encuentra siempre en el otro. Esta educación refleja la sociedad opresora siendo una dimensión de la cultura del silencio.</w:t>
      </w:r>
    </w:p>
    <w:p w14:paraId="46CABF68" w14:textId="17F65568" w:rsidR="00F32D6F" w:rsidRPr="002829A5" w:rsidRDefault="002829A5">
      <w:pPr>
        <w:rPr>
          <w:rFonts w:ascii="Arial" w:hAnsi="Arial" w:cs="Arial"/>
          <w:sz w:val="24"/>
          <w:szCs w:val="24"/>
        </w:rPr>
      </w:pPr>
      <w:r w:rsidRPr="002829A5">
        <w:rPr>
          <w:rFonts w:ascii="Arial" w:hAnsi="Arial" w:cs="Arial"/>
          <w:sz w:val="24"/>
          <w:szCs w:val="24"/>
        </w:rPr>
        <w:t>La educación bancaria es, por tanto, un instrumento de opresión.</w:t>
      </w:r>
    </w:p>
    <w:p w14:paraId="6FBECB1B" w14:textId="6037374B" w:rsidR="00F32D6F" w:rsidRDefault="00B05D96">
      <w:r w:rsidRPr="00B05D96">
        <w:drawing>
          <wp:anchor distT="0" distB="0" distL="114300" distR="114300" simplePos="0" relativeHeight="251660288" behindDoc="0" locked="0" layoutInCell="1" allowOverlap="1" wp14:anchorId="5832B9D9" wp14:editId="5DA9DC67">
            <wp:simplePos x="0" y="0"/>
            <wp:positionH relativeFrom="margin">
              <wp:posOffset>1482090</wp:posOffset>
            </wp:positionH>
            <wp:positionV relativeFrom="paragraph">
              <wp:posOffset>269875</wp:posOffset>
            </wp:positionV>
            <wp:extent cx="2352675" cy="25717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52675" cy="2571750"/>
                    </a:xfrm>
                    <a:prstGeom prst="rect">
                      <a:avLst/>
                    </a:prstGeom>
                  </pic:spPr>
                </pic:pic>
              </a:graphicData>
            </a:graphic>
            <wp14:sizeRelH relativeFrom="margin">
              <wp14:pctWidth>0</wp14:pctWidth>
            </wp14:sizeRelH>
            <wp14:sizeRelV relativeFrom="margin">
              <wp14:pctHeight>0</wp14:pctHeight>
            </wp14:sizeRelV>
          </wp:anchor>
        </w:drawing>
      </w:r>
    </w:p>
    <w:sectPr w:rsidR="00F32D6F" w:rsidSect="00B05D96">
      <w:pgSz w:w="12240" w:h="15840"/>
      <w:pgMar w:top="1417" w:right="1701" w:bottom="1417" w:left="1701" w:header="708" w:footer="708" w:gutter="0"/>
      <w:pgBorders w:offsetFrom="page">
        <w:top w:val="dashed" w:sz="12" w:space="24" w:color="1F3864" w:themeColor="accent1" w:themeShade="80"/>
        <w:left w:val="dashed" w:sz="12" w:space="24" w:color="1F3864" w:themeColor="accent1" w:themeShade="80"/>
        <w:bottom w:val="dashed" w:sz="12" w:space="24" w:color="1F3864" w:themeColor="accent1" w:themeShade="80"/>
        <w:right w:val="dashed" w:sz="12"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balloons">
    <w:panose1 w:val="02000600000000000000"/>
    <w:charset w:val="00"/>
    <w:family w:val="auto"/>
    <w:pitch w:val="variable"/>
    <w:sig w:usb0="00000003" w:usb1="10000000" w:usb2="00000000" w:usb3="00000000" w:csb0="00000001"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6F"/>
    <w:rsid w:val="002829A5"/>
    <w:rsid w:val="00B05D96"/>
    <w:rsid w:val="00F32D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6279"/>
  <w15:chartTrackingRefBased/>
  <w15:docId w15:val="{1C939211-ECE2-46F3-9C70-657DF0D3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D6F"/>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2D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0990">
      <w:bodyDiv w:val="1"/>
      <w:marLeft w:val="0"/>
      <w:marRight w:val="0"/>
      <w:marTop w:val="0"/>
      <w:marBottom w:val="0"/>
      <w:divBdr>
        <w:top w:val="none" w:sz="0" w:space="0" w:color="auto"/>
        <w:left w:val="none" w:sz="0" w:space="0" w:color="auto"/>
        <w:bottom w:val="none" w:sz="0" w:space="0" w:color="auto"/>
        <w:right w:val="none" w:sz="0" w:space="0" w:color="auto"/>
      </w:divBdr>
    </w:div>
    <w:div w:id="445084321">
      <w:bodyDiv w:val="1"/>
      <w:marLeft w:val="0"/>
      <w:marRight w:val="0"/>
      <w:marTop w:val="0"/>
      <w:marBottom w:val="0"/>
      <w:divBdr>
        <w:top w:val="none" w:sz="0" w:space="0" w:color="auto"/>
        <w:left w:val="none" w:sz="0" w:space="0" w:color="auto"/>
        <w:bottom w:val="none" w:sz="0" w:space="0" w:color="auto"/>
        <w:right w:val="none" w:sz="0" w:space="0" w:color="auto"/>
      </w:divBdr>
    </w:div>
    <w:div w:id="1261378503">
      <w:bodyDiv w:val="1"/>
      <w:marLeft w:val="0"/>
      <w:marRight w:val="0"/>
      <w:marTop w:val="0"/>
      <w:marBottom w:val="0"/>
      <w:divBdr>
        <w:top w:val="none" w:sz="0" w:space="0" w:color="auto"/>
        <w:left w:val="none" w:sz="0" w:space="0" w:color="auto"/>
        <w:bottom w:val="none" w:sz="0" w:space="0" w:color="auto"/>
        <w:right w:val="none" w:sz="0" w:space="0" w:color="auto"/>
      </w:divBdr>
    </w:div>
    <w:div w:id="18070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2021-05-20T08:17:00Z</dcterms:created>
  <dcterms:modified xsi:type="dcterms:W3CDTF">2021-05-20T08:42:00Z</dcterms:modified>
</cp:coreProperties>
</file>