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86E0" w14:textId="1F63B1B5" w:rsidR="00E7381C" w:rsidRDefault="00E7381C" w:rsidP="00E7381C">
      <w:pPr>
        <w:spacing w:line="360" w:lineRule="auto"/>
        <w:jc w:val="center"/>
        <w:rPr>
          <w:rFonts w:ascii="Arial" w:hAnsi="Arial" w:cs="Arial"/>
          <w:b/>
          <w:bCs/>
          <w:sz w:val="40"/>
          <w:szCs w:val="40"/>
          <w:lang w:val="es-ES"/>
        </w:rPr>
      </w:pPr>
      <w:r>
        <w:rPr>
          <w:noProof/>
        </w:rPr>
        <w:drawing>
          <wp:anchor distT="0" distB="0" distL="114300" distR="114300" simplePos="0" relativeHeight="251658240" behindDoc="1" locked="0" layoutInCell="1" allowOverlap="1" wp14:anchorId="33D1C684" wp14:editId="7806C333">
            <wp:simplePos x="0" y="0"/>
            <wp:positionH relativeFrom="page">
              <wp:align>right</wp:align>
            </wp:positionH>
            <wp:positionV relativeFrom="paragraph">
              <wp:posOffset>-1537970</wp:posOffset>
            </wp:positionV>
            <wp:extent cx="8048625" cy="6841332"/>
            <wp:effectExtent l="0" t="0" r="0" b="0"/>
            <wp:wrapNone/>
            <wp:docPr id="4" name="Imagen 4" descr="Fotomural Manchas de acuarela brillante • Pixers® - Vivimos para camb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mural Manchas de acuarela brillante • Pixers® - Vivimos para cambiar"/>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9916" b="89916" l="143" r="99429">
                                  <a14:foregroundMark x1="39857" y1="24538" x2="39857" y2="24538"/>
                                  <a14:foregroundMark x1="41857" y1="25546" x2="41857" y2="25546"/>
                                  <a14:foregroundMark x1="47571" y1="29076" x2="39429" y2="23193"/>
                                  <a14:foregroundMark x1="39429" y1="23193" x2="34857" y2="24370"/>
                                  <a14:foregroundMark x1="29714" y1="33950" x2="20000" y2="25042"/>
                                  <a14:foregroundMark x1="20000" y1="25042" x2="10571" y2="25882"/>
                                  <a14:foregroundMark x1="10571" y1="25882" x2="3286" y2="37143"/>
                                  <a14:foregroundMark x1="3286" y1="37143" x2="714" y2="47563"/>
                                  <a14:foregroundMark x1="714" y1="47563" x2="4571" y2="63193"/>
                                  <a14:foregroundMark x1="4571" y1="63193" x2="6571" y2="66050"/>
                                  <a14:foregroundMark x1="6429" y1="25042" x2="143" y2="38824"/>
                                  <a14:foregroundMark x1="143" y1="38824" x2="286" y2="66723"/>
                                  <a14:foregroundMark x1="6143" y1="22521" x2="6143" y2="22521"/>
                                  <a14:foregroundMark x1="20714" y1="21849" x2="20714" y2="21849"/>
                                  <a14:foregroundMark x1="26429" y1="20000" x2="26429" y2="20000"/>
                                  <a14:foregroundMark x1="20571" y1="21008" x2="20571" y2="21008"/>
                                  <a14:foregroundMark x1="40857" y1="20504" x2="40857" y2="20504"/>
                                  <a14:foregroundMark x1="45000" y1="21008" x2="45000" y2="21008"/>
                                  <a14:foregroundMark x1="44571" y1="21849" x2="46571" y2="27395"/>
                                  <a14:foregroundMark x1="46143" y1="18319" x2="46143" y2="18319"/>
                                  <a14:foregroundMark x1="45857" y1="19832" x2="45857" y2="19832"/>
                                  <a14:foregroundMark x1="40429" y1="19328" x2="40429" y2="19328"/>
                                  <a14:foregroundMark x1="35857" y1="20336" x2="35857" y2="20336"/>
                                  <a14:foregroundMark x1="35857" y1="20840" x2="35857" y2="20840"/>
                                  <a14:foregroundMark x1="62857" y1="29412" x2="62857" y2="29412"/>
                                  <a14:foregroundMark x1="63286" y1="27731" x2="54000" y2="30084"/>
                                  <a14:foregroundMark x1="62571" y1="24538" x2="51286" y2="30084"/>
                                  <a14:foregroundMark x1="51286" y1="30084" x2="51714" y2="29916"/>
                                  <a14:foregroundMark x1="76571" y1="25210" x2="86857" y2="28235"/>
                                  <a14:foregroundMark x1="86857" y1="28235" x2="99429" y2="20504"/>
                                  <a14:foregroundMark x1="83000" y1="68571" x2="83000" y2="68571"/>
                                  <a14:foregroundMark x1="94000" y1="67059" x2="94000" y2="67059"/>
                                  <a14:foregroundMark x1="93571" y1="63529" x2="93571" y2="63529"/>
                                  <a14:foregroundMark x1="96000" y1="63025" x2="91143" y2="65546"/>
                                  <a14:foregroundMark x1="95714" y1="65546" x2="99286" y2="58824"/>
                                  <a14:foregroundMark x1="99429" y1="67059" x2="99429" y2="67059"/>
                                  <a14:foregroundMark x1="90429" y1="66891" x2="84286" y2="65882"/>
                                  <a14:foregroundMark x1="68714" y1="68908" x2="68714" y2="68908"/>
                                  <a14:foregroundMark x1="67143" y1="67899" x2="67143" y2="67899"/>
                                  <a14:foregroundMark x1="65571" y1="70420" x2="65571" y2="70420"/>
                                  <a14:foregroundMark x1="62000" y1="68908" x2="62000" y2="68908"/>
                                  <a14:foregroundMark x1="64286" y1="68739" x2="64286" y2="68739"/>
                                  <a14:foregroundMark x1="72143" y1="67563" x2="72143" y2="67563"/>
                                  <a14:foregroundMark x1="82143" y1="18992" x2="82143" y2="18992"/>
                                  <a14:foregroundMark x1="84571" y1="20168" x2="84571" y2="20168"/>
                                  <a14:foregroundMark x1="86000" y1="21176" x2="86000" y2="21176"/>
                                  <a14:foregroundMark x1="85143" y1="23193" x2="85143" y2="23193"/>
                                  <a14:foregroundMark x1="83571" y1="21345" x2="83571" y2="21345"/>
                                  <a14:foregroundMark x1="97429" y1="31765" x2="97429" y2="31765"/>
                                  <a14:foregroundMark x1="99000" y1="17647" x2="99000" y2="17647"/>
                                  <a14:foregroundMark x1="92714" y1="18992" x2="92714" y2="18992"/>
                                  <a14:foregroundMark x1="60429" y1="68739" x2="60429" y2="68739"/>
                                  <a14:foregroundMark x1="23714" y1="68908" x2="23714" y2="68908"/>
                                  <a14:foregroundMark x1="28000" y1="69748" x2="28000" y2="69748"/>
                                  <a14:foregroundMark x1="27143" y1="68067" x2="27143" y2="68067"/>
                                  <a14:foregroundMark x1="26286" y1="66891" x2="26286" y2="66891"/>
                                  <a14:foregroundMark x1="6571" y1="72101" x2="6571" y2="72101"/>
                                  <a14:foregroundMark x1="5429" y1="75126" x2="5429" y2="75126"/>
                                  <a14:foregroundMark x1="58857" y1="68067" x2="58857" y2="68067"/>
                                  <a14:foregroundMark x1="58714" y1="67227" x2="58714" y2="67227"/>
                                  <a14:foregroundMark x1="59286" y1="66723" x2="59286" y2="66723"/>
                                  <a14:foregroundMark x1="59000" y1="66555" x2="59000" y2="66555"/>
                                  <a14:foregroundMark x1="58714" y1="68908" x2="58714" y2="68908"/>
                                  <a14:foregroundMark x1="55286" y1="67563" x2="55286" y2="67563"/>
                                  <a14:foregroundMark x1="54714" y1="69076" x2="54714" y2="69076"/>
                                  <a14:foregroundMark x1="48429" y1="69076" x2="48429" y2="69076"/>
                                  <a14:foregroundMark x1="48857" y1="67899" x2="48857" y2="67899"/>
                                  <a14:foregroundMark x1="46857" y1="63025" x2="46857" y2="63025"/>
                                  <a14:foregroundMark x1="35714" y1="22017" x2="35714" y2="22017"/>
                                  <a14:foregroundMark x1="36143" y1="20168" x2="36143" y2="20168"/>
                                  <a14:foregroundMark x1="4857" y1="20504" x2="4857" y2="20504"/>
                                  <a14:foregroundMark x1="4286" y1="21849" x2="4286" y2="21849"/>
                                  <a14:foregroundMark x1="27000" y1="70756" x2="27000" y2="70756"/>
                                  <a14:foregroundMark x1="26429" y1="68571" x2="26429" y2="68571"/>
                                  <a14:foregroundMark x1="25857" y1="66891" x2="25857" y2="66891"/>
                                  <a14:foregroundMark x1="62286" y1="22521" x2="62286" y2="22521"/>
                                  <a14:foregroundMark x1="59571" y1="24034" x2="59571" y2="24034"/>
                                  <a14:foregroundMark x1="60429" y1="24034" x2="60429" y2="24034"/>
                                  <a14:foregroundMark x1="85571" y1="22017" x2="85571" y2="22017"/>
                                  <a14:foregroundMark x1="96714" y1="17311" x2="96714" y2="17311"/>
                                  <a14:foregroundMark x1="96714" y1="18487" x2="96714" y2="18487"/>
                                  <a14:foregroundMark x1="97143" y1="17815" x2="97571" y2="19328"/>
                                  <a14:foregroundMark x1="65714" y1="68235" x2="65714" y2="68235"/>
                                  <a14:foregroundMark x1="79286" y1="69412" x2="79286" y2="69412"/>
                                  <a14:foregroundMark x1="78143" y1="68067" x2="78143" y2="680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048625" cy="68413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54BD">
        <w:rPr>
          <w:rFonts w:ascii="Arial" w:hAnsi="Arial" w:cs="Arial"/>
          <w:b/>
          <w:bCs/>
          <w:sz w:val="40"/>
          <w:szCs w:val="40"/>
          <w:lang w:val="es-ES"/>
        </w:rPr>
        <w:t>Escuela Normal de Educación Preescolar.</w:t>
      </w:r>
    </w:p>
    <w:p w14:paraId="58120655" w14:textId="100EB5DE" w:rsidR="00E7381C" w:rsidRDefault="00E7381C" w:rsidP="00E7381C">
      <w:pPr>
        <w:spacing w:line="360" w:lineRule="auto"/>
        <w:jc w:val="center"/>
        <w:rPr>
          <w:rFonts w:ascii="Arial" w:hAnsi="Arial" w:cs="Arial"/>
          <w:b/>
          <w:bCs/>
          <w:sz w:val="40"/>
          <w:szCs w:val="40"/>
          <w:lang w:val="es-ES"/>
        </w:rPr>
      </w:pPr>
      <w:r w:rsidRPr="003954BD">
        <w:rPr>
          <w:rFonts w:ascii="Arial" w:hAnsi="Arial" w:cs="Arial"/>
          <w:b/>
          <w:bCs/>
          <w:noProof/>
          <w:sz w:val="40"/>
          <w:szCs w:val="40"/>
        </w:rPr>
        <w:drawing>
          <wp:inline distT="0" distB="0" distL="0" distR="0" wp14:anchorId="5F2D04BA" wp14:editId="5D1B39D9">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4689C53E" w14:textId="56AD23FC" w:rsidR="00E7381C" w:rsidRPr="00E7381C" w:rsidRDefault="00E7381C" w:rsidP="00E7381C">
      <w:pPr>
        <w:spacing w:line="360" w:lineRule="auto"/>
        <w:jc w:val="center"/>
        <w:rPr>
          <w:rFonts w:ascii="Arial" w:hAnsi="Arial" w:cs="Arial"/>
          <w:b/>
          <w:bCs/>
          <w:sz w:val="36"/>
          <w:szCs w:val="36"/>
          <w:lang w:val="es-ES"/>
        </w:rPr>
      </w:pPr>
      <w:r w:rsidRPr="00E7381C">
        <w:rPr>
          <w:rFonts w:ascii="Arial" w:hAnsi="Arial" w:cs="Arial"/>
          <w:b/>
          <w:bCs/>
          <w:sz w:val="36"/>
          <w:szCs w:val="36"/>
          <w:lang w:val="es-ES"/>
        </w:rPr>
        <w:t>Optativa</w:t>
      </w:r>
    </w:p>
    <w:p w14:paraId="1C227F4B" w14:textId="77777777" w:rsidR="00E7381C" w:rsidRPr="00E7381C" w:rsidRDefault="00E7381C" w:rsidP="00E7381C">
      <w:pPr>
        <w:spacing w:line="360" w:lineRule="auto"/>
        <w:jc w:val="center"/>
        <w:rPr>
          <w:rFonts w:ascii="Arial Black" w:hAnsi="Arial Black" w:cs="Arial"/>
          <w:b/>
          <w:bCs/>
          <w:sz w:val="36"/>
          <w:szCs w:val="36"/>
          <w:lang w:val="es-ES"/>
        </w:rPr>
      </w:pPr>
      <w:r w:rsidRPr="00E7381C">
        <w:rPr>
          <w:rFonts w:ascii="Arial Black" w:hAnsi="Arial Black" w:cs="Arial"/>
          <w:b/>
          <w:bCs/>
          <w:sz w:val="36"/>
          <w:szCs w:val="36"/>
          <w:lang w:val="es-ES"/>
        </w:rPr>
        <w:t>La concepción bancaria de la educación y sus alternativas en Paulo Freire.</w:t>
      </w:r>
    </w:p>
    <w:p w14:paraId="4F70BE94" w14:textId="110C338E" w:rsidR="00E7381C" w:rsidRPr="003954BD" w:rsidRDefault="00E7381C" w:rsidP="00E7381C">
      <w:pPr>
        <w:spacing w:line="360" w:lineRule="auto"/>
        <w:jc w:val="center"/>
        <w:rPr>
          <w:rFonts w:ascii="Arial" w:hAnsi="Arial" w:cs="Arial"/>
          <w:sz w:val="36"/>
          <w:szCs w:val="36"/>
          <w:lang w:val="es-ES"/>
        </w:rPr>
      </w:pPr>
      <w:r w:rsidRPr="006052C8">
        <w:rPr>
          <w:rFonts w:ascii="Arial" w:hAnsi="Arial" w:cs="Arial"/>
          <w:sz w:val="36"/>
          <w:szCs w:val="36"/>
          <w:lang w:val="es-ES"/>
        </w:rPr>
        <w:t>Docente: Calos</w:t>
      </w:r>
      <w:r>
        <w:rPr>
          <w:rFonts w:ascii="Arial" w:hAnsi="Arial" w:cs="Arial"/>
          <w:sz w:val="36"/>
          <w:szCs w:val="36"/>
          <w:lang w:val="es-ES"/>
        </w:rPr>
        <w:t xml:space="preserve"> Armando Balderas</w:t>
      </w:r>
      <w:r w:rsidRPr="003954BD">
        <w:rPr>
          <w:rFonts w:ascii="Arial" w:hAnsi="Arial" w:cs="Arial"/>
          <w:sz w:val="36"/>
          <w:szCs w:val="36"/>
          <w:lang w:val="es-ES"/>
        </w:rPr>
        <w:t xml:space="preserve"> </w:t>
      </w:r>
      <w:r>
        <w:rPr>
          <w:rFonts w:ascii="Arial" w:hAnsi="Arial" w:cs="Arial"/>
          <w:sz w:val="36"/>
          <w:szCs w:val="36"/>
          <w:lang w:val="es-ES"/>
        </w:rPr>
        <w:t>Valdés.</w:t>
      </w:r>
    </w:p>
    <w:p w14:paraId="334C049D" w14:textId="78B867CD" w:rsidR="00E7381C" w:rsidRDefault="00E7381C" w:rsidP="00E7381C">
      <w:pPr>
        <w:spacing w:line="360" w:lineRule="auto"/>
        <w:jc w:val="center"/>
        <w:rPr>
          <w:rFonts w:ascii="Arial" w:hAnsi="Arial" w:cs="Arial"/>
          <w:sz w:val="36"/>
          <w:szCs w:val="36"/>
          <w:lang w:val="es-ES"/>
        </w:rPr>
      </w:pPr>
      <w:r w:rsidRPr="003954BD">
        <w:rPr>
          <w:rFonts w:ascii="Arial" w:hAnsi="Arial" w:cs="Arial"/>
          <w:sz w:val="36"/>
          <w:szCs w:val="36"/>
          <w:lang w:val="es-ES"/>
        </w:rPr>
        <w:t xml:space="preserve">Alumna: Fátima Montserrat Flores Pardo #7 </w:t>
      </w:r>
    </w:p>
    <w:p w14:paraId="0659D481" w14:textId="62D625A5" w:rsidR="00E7381C" w:rsidRDefault="00E7381C" w:rsidP="00E7381C">
      <w:pPr>
        <w:spacing w:line="360" w:lineRule="auto"/>
        <w:jc w:val="center"/>
        <w:rPr>
          <w:rFonts w:ascii="Arial" w:hAnsi="Arial" w:cs="Arial"/>
          <w:sz w:val="36"/>
          <w:szCs w:val="36"/>
          <w:lang w:val="es-ES"/>
        </w:rPr>
      </w:pPr>
      <w:r>
        <w:rPr>
          <w:rFonts w:ascii="Arial" w:hAnsi="Arial" w:cs="Arial"/>
          <w:sz w:val="36"/>
          <w:szCs w:val="36"/>
          <w:lang w:val="es-ES"/>
        </w:rPr>
        <w:t xml:space="preserve">Cuarto semestre </w:t>
      </w:r>
    </w:p>
    <w:p w14:paraId="3F3A07B2" w14:textId="71109671" w:rsidR="00E7381C" w:rsidRDefault="00E7381C" w:rsidP="00E7381C">
      <w:pPr>
        <w:spacing w:line="360" w:lineRule="auto"/>
        <w:jc w:val="center"/>
        <w:rPr>
          <w:rFonts w:ascii="Arial" w:hAnsi="Arial" w:cs="Arial"/>
          <w:sz w:val="36"/>
          <w:szCs w:val="36"/>
          <w:lang w:val="es-ES"/>
        </w:rPr>
      </w:pPr>
      <w:r>
        <w:rPr>
          <w:rFonts w:ascii="Arial" w:hAnsi="Arial" w:cs="Arial"/>
          <w:sz w:val="36"/>
          <w:szCs w:val="36"/>
          <w:lang w:val="es-ES"/>
        </w:rPr>
        <w:t>Sección: “C”</w:t>
      </w:r>
    </w:p>
    <w:p w14:paraId="3045FF4C" w14:textId="631F769C" w:rsidR="00E7381C" w:rsidRDefault="00E7381C" w:rsidP="00E7381C">
      <w:pPr>
        <w:spacing w:line="360" w:lineRule="auto"/>
        <w:jc w:val="center"/>
        <w:rPr>
          <w:rFonts w:ascii="Arial" w:hAnsi="Arial" w:cs="Arial"/>
          <w:sz w:val="36"/>
          <w:szCs w:val="36"/>
          <w:lang w:val="es-ES"/>
        </w:rPr>
      </w:pPr>
    </w:p>
    <w:p w14:paraId="085FD2F7" w14:textId="6B60B3DC" w:rsidR="00E7381C" w:rsidRDefault="00E7381C" w:rsidP="00E7381C">
      <w:pPr>
        <w:rPr>
          <w:rFonts w:ascii="Arial" w:hAnsi="Arial" w:cs="Arial"/>
          <w:sz w:val="36"/>
          <w:szCs w:val="36"/>
          <w:lang w:val="es-ES"/>
        </w:rPr>
      </w:pPr>
      <w:r>
        <w:rPr>
          <w:rFonts w:ascii="Arial" w:hAnsi="Arial" w:cs="Arial"/>
          <w:sz w:val="36"/>
          <w:szCs w:val="36"/>
          <w:lang w:val="es-ES"/>
        </w:rPr>
        <w:br w:type="page"/>
      </w:r>
    </w:p>
    <w:p w14:paraId="39BB65DE" w14:textId="60984EA0" w:rsidR="00D46349" w:rsidRPr="00E7381C" w:rsidRDefault="00E7381C" w:rsidP="00E7381C">
      <w:pPr>
        <w:jc w:val="center"/>
        <w:rPr>
          <w:rFonts w:ascii="Arial" w:hAnsi="Arial" w:cs="Arial"/>
          <w:b/>
          <w:bCs/>
          <w:sz w:val="24"/>
          <w:szCs w:val="24"/>
        </w:rPr>
      </w:pPr>
      <w:r w:rsidRPr="00E7381C">
        <w:rPr>
          <w:rFonts w:ascii="Arial" w:hAnsi="Arial" w:cs="Arial"/>
          <w:b/>
          <w:bCs/>
          <w:sz w:val="24"/>
          <w:szCs w:val="24"/>
        </w:rPr>
        <w:lastRenderedPageBreak/>
        <w:t>La concepción bancaria de la educación y sus alternativas en Paulo Freire.</w:t>
      </w:r>
    </w:p>
    <w:p w14:paraId="68EB9E0C" w14:textId="2782053B" w:rsidR="00E7381C" w:rsidRPr="00E7381C" w:rsidRDefault="00E7381C" w:rsidP="00B13DC5">
      <w:pPr>
        <w:spacing w:line="360" w:lineRule="auto"/>
        <w:jc w:val="both"/>
        <w:rPr>
          <w:rFonts w:ascii="Arial" w:hAnsi="Arial" w:cs="Arial"/>
          <w:sz w:val="24"/>
          <w:szCs w:val="24"/>
        </w:rPr>
      </w:pPr>
      <w:r w:rsidRPr="00E7381C">
        <w:rPr>
          <w:rFonts w:ascii="Arial" w:hAnsi="Arial" w:cs="Arial"/>
          <w:sz w:val="24"/>
          <w:szCs w:val="24"/>
        </w:rPr>
        <w:t xml:space="preserve">En la educación bancaria la contradicción es mantenida y estimulada ya que no existe liberación superadora posible. El </w:t>
      </w:r>
      <w:r w:rsidR="006568EE">
        <w:rPr>
          <w:rFonts w:ascii="Arial" w:hAnsi="Arial" w:cs="Arial"/>
          <w:sz w:val="24"/>
          <w:szCs w:val="24"/>
        </w:rPr>
        <w:t>niño</w:t>
      </w:r>
      <w:r w:rsidRPr="00E7381C">
        <w:rPr>
          <w:rFonts w:ascii="Arial" w:hAnsi="Arial" w:cs="Arial"/>
          <w:sz w:val="24"/>
          <w:szCs w:val="24"/>
        </w:rPr>
        <w:t>, sólo un objeto en el proceso, padece pasivamente la acción de su educador</w:t>
      </w:r>
      <w:r w:rsidR="006568EE">
        <w:rPr>
          <w:rFonts w:ascii="Arial" w:hAnsi="Arial" w:cs="Arial"/>
          <w:sz w:val="24"/>
          <w:szCs w:val="24"/>
        </w:rPr>
        <w:t>a</w:t>
      </w:r>
      <w:r w:rsidRPr="00E7381C">
        <w:rPr>
          <w:rFonts w:ascii="Arial" w:hAnsi="Arial" w:cs="Arial"/>
          <w:sz w:val="24"/>
          <w:szCs w:val="24"/>
        </w:rPr>
        <w:t>.</w:t>
      </w:r>
    </w:p>
    <w:p w14:paraId="54B53AEB" w14:textId="7A204122" w:rsidR="00E7381C" w:rsidRPr="00E7381C" w:rsidRDefault="00E7381C" w:rsidP="00B13DC5">
      <w:pPr>
        <w:spacing w:line="360" w:lineRule="auto"/>
        <w:jc w:val="both"/>
        <w:rPr>
          <w:rFonts w:ascii="Arial" w:hAnsi="Arial" w:cs="Arial"/>
          <w:sz w:val="24"/>
          <w:szCs w:val="24"/>
        </w:rPr>
      </w:pPr>
      <w:r w:rsidRPr="00E7381C">
        <w:rPr>
          <w:rFonts w:ascii="Arial" w:hAnsi="Arial" w:cs="Arial"/>
          <w:sz w:val="24"/>
          <w:szCs w:val="24"/>
        </w:rPr>
        <w:t>En la concepción bancaria, el sujeto de la educación es l</w:t>
      </w:r>
      <w:r w:rsidR="006568EE">
        <w:rPr>
          <w:rFonts w:ascii="Arial" w:hAnsi="Arial" w:cs="Arial"/>
          <w:sz w:val="24"/>
          <w:szCs w:val="24"/>
        </w:rPr>
        <w:t>a</w:t>
      </w:r>
      <w:r w:rsidRPr="00E7381C">
        <w:rPr>
          <w:rFonts w:ascii="Arial" w:hAnsi="Arial" w:cs="Arial"/>
          <w:sz w:val="24"/>
          <w:szCs w:val="24"/>
        </w:rPr>
        <w:t xml:space="preserve"> educador</w:t>
      </w:r>
      <w:r w:rsidR="006568EE">
        <w:rPr>
          <w:rFonts w:ascii="Arial" w:hAnsi="Arial" w:cs="Arial"/>
          <w:sz w:val="24"/>
          <w:szCs w:val="24"/>
        </w:rPr>
        <w:t>a</w:t>
      </w:r>
      <w:r w:rsidRPr="00E7381C">
        <w:rPr>
          <w:rFonts w:ascii="Arial" w:hAnsi="Arial" w:cs="Arial"/>
          <w:sz w:val="24"/>
          <w:szCs w:val="24"/>
        </w:rPr>
        <w:t xml:space="preserve"> el cual conduce al </w:t>
      </w:r>
      <w:r w:rsidR="006568EE">
        <w:rPr>
          <w:rFonts w:ascii="Arial" w:hAnsi="Arial" w:cs="Arial"/>
          <w:sz w:val="24"/>
          <w:szCs w:val="24"/>
        </w:rPr>
        <w:t>alumno</w:t>
      </w:r>
      <w:r w:rsidRPr="00E7381C">
        <w:rPr>
          <w:rFonts w:ascii="Arial" w:hAnsi="Arial" w:cs="Arial"/>
          <w:sz w:val="24"/>
          <w:szCs w:val="24"/>
        </w:rPr>
        <w:t xml:space="preserve"> en la memorización mecánica de los contenidos. Los </w:t>
      </w:r>
      <w:r w:rsidR="006568EE">
        <w:rPr>
          <w:rFonts w:ascii="Arial" w:hAnsi="Arial" w:cs="Arial"/>
          <w:sz w:val="24"/>
          <w:szCs w:val="24"/>
        </w:rPr>
        <w:t>niños</w:t>
      </w:r>
      <w:r w:rsidRPr="00E7381C">
        <w:rPr>
          <w:rFonts w:ascii="Arial" w:hAnsi="Arial" w:cs="Arial"/>
          <w:sz w:val="24"/>
          <w:szCs w:val="24"/>
        </w:rPr>
        <w:t xml:space="preserve"> son así una suerte de "recipientes" en los que se "deposita" el saber.</w:t>
      </w:r>
    </w:p>
    <w:p w14:paraId="42ECBF61" w14:textId="42CA5BEC" w:rsidR="00E7381C" w:rsidRPr="00E7381C" w:rsidRDefault="00E7381C" w:rsidP="00B13DC5">
      <w:pPr>
        <w:spacing w:line="360" w:lineRule="auto"/>
        <w:jc w:val="both"/>
        <w:rPr>
          <w:rFonts w:ascii="Arial" w:hAnsi="Arial" w:cs="Arial"/>
          <w:sz w:val="24"/>
          <w:szCs w:val="24"/>
        </w:rPr>
      </w:pPr>
      <w:r w:rsidRPr="00E7381C">
        <w:rPr>
          <w:rFonts w:ascii="Arial" w:hAnsi="Arial" w:cs="Arial"/>
          <w:sz w:val="24"/>
          <w:szCs w:val="24"/>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14:paraId="5A77407D" w14:textId="683532CA" w:rsidR="00E7381C" w:rsidRPr="00E7381C" w:rsidRDefault="00E7381C" w:rsidP="00B13DC5">
      <w:pPr>
        <w:spacing w:line="360" w:lineRule="auto"/>
        <w:jc w:val="both"/>
        <w:rPr>
          <w:rFonts w:ascii="Arial" w:hAnsi="Arial" w:cs="Arial"/>
          <w:sz w:val="24"/>
          <w:szCs w:val="24"/>
        </w:rPr>
      </w:pPr>
      <w:r w:rsidRPr="00E7381C">
        <w:rPr>
          <w:rFonts w:ascii="Arial" w:hAnsi="Arial" w:cs="Arial"/>
          <w:sz w:val="24"/>
          <w:szCs w:val="24"/>
        </w:rPr>
        <w:t>De este modo, a mayor pasividad, con mayor facilidad los oprimidos se adaptarán al mundo y más lejos estarán de transformar la realidad.</w:t>
      </w:r>
    </w:p>
    <w:p w14:paraId="7926F78E" w14:textId="797893ED" w:rsidR="00E7381C" w:rsidRPr="00E7381C" w:rsidRDefault="006568EE" w:rsidP="00B13DC5">
      <w:pPr>
        <w:spacing w:line="360" w:lineRule="auto"/>
        <w:jc w:val="both"/>
        <w:rPr>
          <w:rFonts w:ascii="Arial" w:hAnsi="Arial" w:cs="Arial"/>
          <w:sz w:val="24"/>
          <w:szCs w:val="24"/>
        </w:rPr>
      </w:pPr>
      <w:r>
        <w:rPr>
          <w:rFonts w:ascii="Arial" w:hAnsi="Arial" w:cs="Arial"/>
          <w:sz w:val="24"/>
          <w:szCs w:val="24"/>
        </w:rPr>
        <w:t>L</w:t>
      </w:r>
      <w:r w:rsidR="00E7381C" w:rsidRPr="00E7381C">
        <w:rPr>
          <w:rFonts w:ascii="Arial" w:hAnsi="Arial" w:cs="Arial"/>
          <w:sz w:val="24"/>
          <w:szCs w:val="24"/>
        </w:rPr>
        <w:t>a educación bancaria es un instrumento de la opresión porque pretende transformar la mentalidad de los educandos y no la situación den la que se encuentran</w:t>
      </w:r>
    </w:p>
    <w:p w14:paraId="3894E2B8" w14:textId="0C1559B5" w:rsidR="00E7381C" w:rsidRPr="00E7381C" w:rsidRDefault="00E7381C" w:rsidP="00B13DC5">
      <w:pPr>
        <w:spacing w:line="360" w:lineRule="auto"/>
        <w:jc w:val="both"/>
        <w:rPr>
          <w:rFonts w:ascii="Arial" w:hAnsi="Arial" w:cs="Arial"/>
          <w:sz w:val="24"/>
          <w:szCs w:val="24"/>
        </w:rPr>
      </w:pPr>
      <w:r w:rsidRPr="00E7381C">
        <w:rPr>
          <w:rFonts w:ascii="Arial" w:hAnsi="Arial" w:cs="Arial"/>
          <w:sz w:val="24"/>
          <w:szCs w:val="24"/>
        </w:rPr>
        <w:t xml:space="preserve">Freire </w:t>
      </w:r>
      <w:r w:rsidR="006568EE">
        <w:rPr>
          <w:rFonts w:ascii="Arial" w:hAnsi="Arial" w:cs="Arial"/>
          <w:sz w:val="24"/>
          <w:szCs w:val="24"/>
        </w:rPr>
        <w:t>nos dice</w:t>
      </w:r>
      <w:r w:rsidRPr="00E7381C">
        <w:rPr>
          <w:rFonts w:ascii="Arial" w:hAnsi="Arial" w:cs="Arial"/>
          <w:sz w:val="24"/>
          <w:szCs w:val="24"/>
        </w:rPr>
        <w:t xml:space="preserve"> que incluso una educación bancaria puede despertar la reacción de los oprimidos, porque, aunque oculta, el conocimiento acumulado en los "depósitos" pone en evidencia las contradicciones. </w:t>
      </w:r>
      <w:r w:rsidR="006568EE">
        <w:rPr>
          <w:rFonts w:ascii="Arial" w:hAnsi="Arial" w:cs="Arial"/>
          <w:sz w:val="24"/>
          <w:szCs w:val="24"/>
        </w:rPr>
        <w:t>Por lo tanto</w:t>
      </w:r>
      <w:r w:rsidRPr="00E7381C">
        <w:rPr>
          <w:rFonts w:ascii="Arial" w:hAnsi="Arial" w:cs="Arial"/>
          <w:sz w:val="24"/>
          <w:szCs w:val="24"/>
        </w:rPr>
        <w:t>, un</w:t>
      </w:r>
      <w:r w:rsidR="006568EE">
        <w:rPr>
          <w:rFonts w:ascii="Arial" w:hAnsi="Arial" w:cs="Arial"/>
          <w:sz w:val="24"/>
          <w:szCs w:val="24"/>
        </w:rPr>
        <w:t>a</w:t>
      </w:r>
      <w:r w:rsidRPr="00E7381C">
        <w:rPr>
          <w:rFonts w:ascii="Arial" w:hAnsi="Arial" w:cs="Arial"/>
          <w:sz w:val="24"/>
          <w:szCs w:val="24"/>
        </w:rPr>
        <w:t xml:space="preserve"> educador</w:t>
      </w:r>
      <w:r w:rsidR="006568EE">
        <w:rPr>
          <w:rFonts w:ascii="Arial" w:hAnsi="Arial" w:cs="Arial"/>
          <w:sz w:val="24"/>
          <w:szCs w:val="24"/>
        </w:rPr>
        <w:t>a</w:t>
      </w:r>
      <w:r w:rsidRPr="00E7381C">
        <w:rPr>
          <w:rFonts w:ascii="Arial" w:hAnsi="Arial" w:cs="Arial"/>
          <w:sz w:val="24"/>
          <w:szCs w:val="24"/>
        </w:rPr>
        <w:t xml:space="preserve"> humanista revolucionari</w:t>
      </w:r>
      <w:r w:rsidR="006568EE">
        <w:rPr>
          <w:rFonts w:ascii="Arial" w:hAnsi="Arial" w:cs="Arial"/>
          <w:sz w:val="24"/>
          <w:szCs w:val="24"/>
        </w:rPr>
        <w:t>a</w:t>
      </w:r>
      <w:r w:rsidRPr="00E7381C">
        <w:rPr>
          <w:rFonts w:ascii="Arial" w:hAnsi="Arial" w:cs="Arial"/>
          <w:sz w:val="24"/>
          <w:szCs w:val="24"/>
        </w:rPr>
        <w:t xml:space="preserve"> no debería confiarse de esta posibilidad sino identificarse con los </w:t>
      </w:r>
      <w:r w:rsidR="006568EE">
        <w:rPr>
          <w:rFonts w:ascii="Arial" w:hAnsi="Arial" w:cs="Arial"/>
          <w:sz w:val="24"/>
          <w:szCs w:val="24"/>
        </w:rPr>
        <w:t>niños</w:t>
      </w:r>
      <w:r w:rsidRPr="00E7381C">
        <w:rPr>
          <w:rFonts w:ascii="Arial" w:hAnsi="Arial" w:cs="Arial"/>
          <w:sz w:val="24"/>
          <w:szCs w:val="24"/>
        </w:rPr>
        <w:t xml:space="preserve"> y orientarse a la liberación de ambos.</w:t>
      </w:r>
    </w:p>
    <w:p w14:paraId="4E0D41A4" w14:textId="69E33CF0" w:rsidR="00E7381C" w:rsidRPr="00E7381C" w:rsidRDefault="006568EE" w:rsidP="00B13DC5">
      <w:pPr>
        <w:spacing w:line="360" w:lineRule="auto"/>
        <w:jc w:val="both"/>
        <w:rPr>
          <w:rFonts w:ascii="Arial" w:hAnsi="Arial" w:cs="Arial"/>
          <w:sz w:val="24"/>
          <w:szCs w:val="24"/>
        </w:rPr>
      </w:pPr>
      <w:r>
        <w:rPr>
          <w:rFonts w:ascii="Arial" w:hAnsi="Arial" w:cs="Arial"/>
          <w:sz w:val="24"/>
          <w:szCs w:val="24"/>
        </w:rPr>
        <w:t>Entonces</w:t>
      </w:r>
      <w:r w:rsidR="00E7381C" w:rsidRPr="00E7381C">
        <w:rPr>
          <w:rFonts w:ascii="Arial" w:hAnsi="Arial" w:cs="Arial"/>
          <w:sz w:val="24"/>
          <w:szCs w:val="24"/>
        </w:rPr>
        <w:t xml:space="preserve"> l</w:t>
      </w:r>
      <w:r>
        <w:rPr>
          <w:rFonts w:ascii="Arial" w:hAnsi="Arial" w:cs="Arial"/>
          <w:sz w:val="24"/>
          <w:szCs w:val="24"/>
        </w:rPr>
        <w:t>a</w:t>
      </w:r>
      <w:r w:rsidR="00E7381C" w:rsidRPr="00E7381C">
        <w:rPr>
          <w:rFonts w:ascii="Arial" w:hAnsi="Arial" w:cs="Arial"/>
          <w:sz w:val="24"/>
          <w:szCs w:val="24"/>
        </w:rPr>
        <w:t xml:space="preserve"> educador</w:t>
      </w:r>
      <w:r>
        <w:rPr>
          <w:rFonts w:ascii="Arial" w:hAnsi="Arial" w:cs="Arial"/>
          <w:sz w:val="24"/>
          <w:szCs w:val="24"/>
        </w:rPr>
        <w:t>a</w:t>
      </w:r>
      <w:r w:rsidR="00E7381C" w:rsidRPr="00E7381C">
        <w:rPr>
          <w:rFonts w:ascii="Arial" w:hAnsi="Arial" w:cs="Arial"/>
          <w:sz w:val="24"/>
          <w:szCs w:val="24"/>
        </w:rPr>
        <w:t xml:space="preserve"> </w:t>
      </w:r>
      <w:r>
        <w:rPr>
          <w:rFonts w:ascii="Arial" w:hAnsi="Arial" w:cs="Arial"/>
          <w:sz w:val="24"/>
          <w:szCs w:val="24"/>
        </w:rPr>
        <w:t>y</w:t>
      </w:r>
      <w:r w:rsidR="00E7381C" w:rsidRPr="00E7381C">
        <w:rPr>
          <w:rFonts w:ascii="Arial" w:hAnsi="Arial" w:cs="Arial"/>
          <w:sz w:val="24"/>
          <w:szCs w:val="24"/>
        </w:rPr>
        <w:t xml:space="preserve"> los </w:t>
      </w:r>
      <w:r>
        <w:rPr>
          <w:rFonts w:ascii="Arial" w:hAnsi="Arial" w:cs="Arial"/>
          <w:sz w:val="24"/>
          <w:szCs w:val="24"/>
        </w:rPr>
        <w:t>alumno</w:t>
      </w:r>
      <w:r w:rsidR="00E7381C" w:rsidRPr="00E7381C">
        <w:rPr>
          <w:rFonts w:ascii="Arial" w:hAnsi="Arial" w:cs="Arial"/>
          <w:sz w:val="24"/>
          <w:szCs w:val="24"/>
        </w:rPr>
        <w:t>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p>
    <w:sectPr w:rsidR="00E7381C" w:rsidRPr="00E738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1C"/>
    <w:rsid w:val="006568EE"/>
    <w:rsid w:val="00B13DC5"/>
    <w:rsid w:val="00D46349"/>
    <w:rsid w:val="00E738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AE70"/>
  <w15:chartTrackingRefBased/>
  <w15:docId w15:val="{0FF2B4A6-EBB8-4447-8AA2-4A54A8C4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81C"/>
    <w:pPr>
      <w:spacing w:after="120" w:line="264" w:lineRule="auto"/>
    </w:pPr>
    <w:rPr>
      <w:rFonts w:eastAsiaTheme="minorEastAs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Flores</dc:creator>
  <cp:keywords/>
  <dc:description/>
  <cp:lastModifiedBy>Fernando Flores</cp:lastModifiedBy>
  <cp:revision>2</cp:revision>
  <dcterms:created xsi:type="dcterms:W3CDTF">2021-05-26T01:58:00Z</dcterms:created>
  <dcterms:modified xsi:type="dcterms:W3CDTF">2021-05-26T01:58:00Z</dcterms:modified>
</cp:coreProperties>
</file>