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9EF1" w14:textId="77777777" w:rsidR="000C7EB8" w:rsidRPr="000C7EB8" w:rsidRDefault="000C7EB8" w:rsidP="000C7EB8">
      <w:pPr>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21188451" wp14:editId="4498E93F">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 xml:space="preserve">Trabajo: Cuadro comparativo </w:t>
      </w:r>
      <w:r w:rsidRPr="000C7EB8">
        <w:rPr>
          <w:rFonts w:ascii="Arial" w:hAnsi="Arial" w:cs="Arial"/>
          <w:sz w:val="24"/>
        </w:rPr>
        <w:br/>
        <w:t>Alumnas: Rosario Guadalupe Arroyo Espinoza #3</w:t>
      </w:r>
      <w:r w:rsidRPr="000C7EB8">
        <w:rPr>
          <w:rFonts w:ascii="Arial" w:hAnsi="Arial" w:cs="Arial"/>
          <w:sz w:val="24"/>
        </w:rPr>
        <w:br/>
        <w:t>María Guadalupe Salazar Martínez #13</w:t>
      </w:r>
      <w:r w:rsidRPr="000C7EB8">
        <w:rPr>
          <w:rFonts w:ascii="Arial" w:hAnsi="Arial" w:cs="Arial"/>
          <w:sz w:val="24"/>
        </w:rPr>
        <w:br/>
        <w:t>Vianney Daniela Torres Salazar #18</w:t>
      </w:r>
      <w:r w:rsidRPr="000C7EB8">
        <w:rPr>
          <w:rFonts w:ascii="Arial" w:hAnsi="Arial" w:cs="Arial"/>
          <w:sz w:val="24"/>
        </w:rPr>
        <w:br/>
        <w:t>Leonardo Torres Valdés #19</w:t>
      </w:r>
      <w:r w:rsidRPr="000C7EB8">
        <w:rPr>
          <w:rFonts w:ascii="Arial" w:hAnsi="Arial" w:cs="Arial"/>
          <w:sz w:val="24"/>
        </w:rPr>
        <w:br/>
        <w:t>Arleth Velázquez Hernández #21</w:t>
      </w:r>
      <w:r w:rsidRPr="000C7EB8">
        <w:rPr>
          <w:rFonts w:ascii="Arial" w:hAnsi="Arial" w:cs="Arial"/>
          <w:sz w:val="24"/>
        </w:rPr>
        <w:br/>
        <w:t>Profesor: Gerardo Garza Alcalá</w:t>
      </w:r>
      <w:r w:rsidRPr="000C7EB8">
        <w:rPr>
          <w:rFonts w:ascii="Arial" w:hAnsi="Arial" w:cs="Arial"/>
          <w:sz w:val="24"/>
        </w:rPr>
        <w:b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14:paraId="630875F7" w14:textId="77777777" w:rsidR="00821519" w:rsidRDefault="000C7EB8" w:rsidP="000C7EB8">
      <w:pPr>
        <w:jc w:val="center"/>
      </w:pPr>
      <w:r w:rsidRPr="000C7EB8">
        <w:rPr>
          <w:rFonts w:ascii="Arial" w:hAnsi="Arial" w:cs="Arial"/>
          <w:sz w:val="24"/>
        </w:rPr>
        <w:br/>
        <w:t>Saltillo, Coahuila de Zaragoza                           Mayo 2021</w:t>
      </w:r>
      <w:r w:rsidRPr="00BB7594">
        <w:br/>
      </w:r>
    </w:p>
    <w:p w14:paraId="44914A83" w14:textId="77777777" w:rsidR="001C1F2B" w:rsidRDefault="001C1F2B" w:rsidP="00E6274B"/>
    <w:p w14:paraId="14E46EBE" w14:textId="77777777" w:rsidR="001C1F2B" w:rsidRDefault="001C1F2B" w:rsidP="000C7EB8">
      <w:pPr>
        <w:jc w:val="center"/>
      </w:pPr>
    </w:p>
    <w:p w14:paraId="1A7918C3" w14:textId="77777777" w:rsidR="001C1F2B" w:rsidRDefault="001C1F2B" w:rsidP="000C7EB8">
      <w:pPr>
        <w:jc w:val="center"/>
      </w:pPr>
    </w:p>
    <w:p w14:paraId="32B7AAFC" w14:textId="77777777" w:rsidR="001C1F2B" w:rsidRPr="00B27700" w:rsidRDefault="001C1F2B" w:rsidP="001C1F2B">
      <w:pPr>
        <w:rPr>
          <w:rFonts w:ascii="Century Gothic" w:hAnsi="Century Gothic"/>
          <w:sz w:val="24"/>
          <w:szCs w:val="24"/>
        </w:rPr>
      </w:pPr>
    </w:p>
    <w:tbl>
      <w:tblPr>
        <w:tblStyle w:val="Tablaconcuadrcula"/>
        <w:tblW w:w="13703" w:type="dxa"/>
        <w:tblInd w:w="-714" w:type="dxa"/>
        <w:tblLayout w:type="fixed"/>
        <w:tblLook w:val="04A0" w:firstRow="1" w:lastRow="0" w:firstColumn="1" w:lastColumn="0" w:noHBand="0" w:noVBand="1"/>
      </w:tblPr>
      <w:tblGrid>
        <w:gridCol w:w="2455"/>
        <w:gridCol w:w="1811"/>
        <w:gridCol w:w="1398"/>
        <w:gridCol w:w="325"/>
        <w:gridCol w:w="1275"/>
        <w:gridCol w:w="1525"/>
        <w:gridCol w:w="1559"/>
        <w:gridCol w:w="709"/>
        <w:gridCol w:w="851"/>
        <w:gridCol w:w="1559"/>
        <w:gridCol w:w="236"/>
      </w:tblGrid>
      <w:tr w:rsidR="000C7EB8" w:rsidRPr="00B27700" w14:paraId="2C6D9B3B" w14:textId="77777777" w:rsidTr="00E600FC">
        <w:trPr>
          <w:gridAfter w:val="1"/>
          <w:wAfter w:w="236" w:type="dxa"/>
          <w:trHeight w:val="727"/>
        </w:trPr>
        <w:tc>
          <w:tcPr>
            <w:tcW w:w="13467" w:type="dxa"/>
            <w:gridSpan w:val="10"/>
            <w:shd w:val="clear" w:color="auto" w:fill="C5E0B3" w:themeFill="accent6" w:themeFillTint="66"/>
          </w:tcPr>
          <w:p w14:paraId="4B275D96" w14:textId="77777777" w:rsidR="009E0A83" w:rsidRPr="00B27700" w:rsidRDefault="009E0A83" w:rsidP="009E0A83">
            <w:pPr>
              <w:jc w:val="center"/>
              <w:rPr>
                <w:rFonts w:ascii="Century Gothic" w:hAnsi="Century Gothic" w:cs="Arial"/>
                <w:sz w:val="24"/>
                <w:szCs w:val="24"/>
              </w:rPr>
            </w:pPr>
          </w:p>
          <w:p w14:paraId="403E2DBE" w14:textId="77777777" w:rsidR="000C7EB8" w:rsidRPr="00B27700" w:rsidRDefault="000C7EB8" w:rsidP="009E0A83">
            <w:pPr>
              <w:jc w:val="center"/>
              <w:rPr>
                <w:rFonts w:ascii="Century Gothic" w:hAnsi="Century Gothic" w:cs="Arial"/>
                <w:b/>
                <w:sz w:val="24"/>
                <w:szCs w:val="24"/>
              </w:rPr>
            </w:pPr>
            <w:r w:rsidRPr="00B27700">
              <w:rPr>
                <w:rFonts w:ascii="Century Gothic" w:hAnsi="Century Gothic" w:cs="Arial"/>
                <w:b/>
                <w:sz w:val="24"/>
                <w:szCs w:val="24"/>
              </w:rPr>
              <w:t>Fundamentación teórica del proceso de planeación y evaluación de la enseñanza y el aprendizaje</w:t>
            </w:r>
          </w:p>
        </w:tc>
      </w:tr>
      <w:tr w:rsidR="000C7EB8" w:rsidRPr="00B27700" w14:paraId="19A5D2AB" w14:textId="77777777" w:rsidTr="00E600FC">
        <w:trPr>
          <w:gridAfter w:val="1"/>
          <w:wAfter w:w="236" w:type="dxa"/>
        </w:trPr>
        <w:tc>
          <w:tcPr>
            <w:tcW w:w="13467" w:type="dxa"/>
            <w:gridSpan w:val="10"/>
            <w:shd w:val="clear" w:color="auto" w:fill="C5E0B3" w:themeFill="accent6" w:themeFillTint="66"/>
          </w:tcPr>
          <w:p w14:paraId="03E8EBAC" w14:textId="77777777" w:rsidR="000C7EB8" w:rsidRPr="00B27700" w:rsidRDefault="000C7EB8" w:rsidP="000C7EB8">
            <w:pPr>
              <w:jc w:val="center"/>
              <w:rPr>
                <w:rFonts w:ascii="Century Gothic" w:hAnsi="Century Gothic" w:cs="Arial"/>
                <w:sz w:val="24"/>
                <w:szCs w:val="24"/>
              </w:rPr>
            </w:pPr>
          </w:p>
        </w:tc>
      </w:tr>
      <w:tr w:rsidR="001C1F2B" w:rsidRPr="00B27700" w14:paraId="47FEBE8A" w14:textId="77777777" w:rsidTr="00E600FC">
        <w:trPr>
          <w:gridAfter w:val="1"/>
          <w:wAfter w:w="236" w:type="dxa"/>
        </w:trPr>
        <w:tc>
          <w:tcPr>
            <w:tcW w:w="2455" w:type="dxa"/>
            <w:shd w:val="clear" w:color="auto" w:fill="C5E0B3" w:themeFill="accent6" w:themeFillTint="66"/>
          </w:tcPr>
          <w:p w14:paraId="098FB1E8"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Aspectos </w:t>
            </w:r>
          </w:p>
        </w:tc>
        <w:tc>
          <w:tcPr>
            <w:tcW w:w="3209" w:type="dxa"/>
            <w:gridSpan w:val="2"/>
            <w:shd w:val="clear" w:color="auto" w:fill="C5E0B3" w:themeFill="accent6" w:themeFillTint="66"/>
          </w:tcPr>
          <w:p w14:paraId="68A8C534"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Proceso de planeación </w:t>
            </w:r>
          </w:p>
        </w:tc>
        <w:tc>
          <w:tcPr>
            <w:tcW w:w="7803" w:type="dxa"/>
            <w:gridSpan w:val="7"/>
            <w:shd w:val="clear" w:color="auto" w:fill="C5E0B3" w:themeFill="accent6" w:themeFillTint="66"/>
          </w:tcPr>
          <w:p w14:paraId="2DA25760"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Proceso de evaluación </w:t>
            </w:r>
          </w:p>
        </w:tc>
      </w:tr>
      <w:tr w:rsidR="001C1F2B" w:rsidRPr="00B27700" w14:paraId="68466B32" w14:textId="77777777" w:rsidTr="00B27700">
        <w:trPr>
          <w:gridAfter w:val="1"/>
          <w:wAfter w:w="236" w:type="dxa"/>
          <w:trHeight w:val="1937"/>
        </w:trPr>
        <w:tc>
          <w:tcPr>
            <w:tcW w:w="2455" w:type="dxa"/>
            <w:shd w:val="clear" w:color="auto" w:fill="C5E0B3" w:themeFill="accent6" w:themeFillTint="66"/>
          </w:tcPr>
          <w:p w14:paraId="12E0849C"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Conceptos </w:t>
            </w:r>
          </w:p>
        </w:tc>
        <w:tc>
          <w:tcPr>
            <w:tcW w:w="3209" w:type="dxa"/>
            <w:gridSpan w:val="2"/>
          </w:tcPr>
          <w:p w14:paraId="4A4C0B4B" w14:textId="77777777" w:rsidR="00AB4CD7" w:rsidRPr="00B27700" w:rsidRDefault="00AB4CD7" w:rsidP="00AB4CD7">
            <w:pPr>
              <w:rPr>
                <w:rFonts w:ascii="Century Gothic" w:hAnsi="Century Gothic" w:cs="Arial"/>
                <w:sz w:val="24"/>
                <w:szCs w:val="24"/>
              </w:rPr>
            </w:pPr>
            <w:r w:rsidRPr="00B27700">
              <w:rPr>
                <w:rFonts w:ascii="Century Gothic" w:hAnsi="Century Gothic" w:cs="Arial"/>
                <w:sz w:val="24"/>
                <w:szCs w:val="24"/>
              </w:rPr>
              <w:t>El proceso de planeación es una herramienta fundamental de la práctica docente, pues requiere que el profesor establezca metas, con base en los Aprendizajes</w:t>
            </w:r>
          </w:p>
          <w:p w14:paraId="625A260B" w14:textId="77777777" w:rsidR="00AB4CD7" w:rsidRPr="00B27700" w:rsidRDefault="00AB4CD7" w:rsidP="00AB4CD7">
            <w:pPr>
              <w:rPr>
                <w:rFonts w:ascii="Century Gothic" w:hAnsi="Century Gothic" w:cs="Arial"/>
                <w:sz w:val="24"/>
                <w:szCs w:val="24"/>
              </w:rPr>
            </w:pPr>
            <w:r w:rsidRPr="00B27700">
              <w:rPr>
                <w:rFonts w:ascii="Century Gothic" w:hAnsi="Century Gothic" w:cs="Arial"/>
                <w:sz w:val="24"/>
                <w:szCs w:val="24"/>
              </w:rPr>
              <w:t>esperados de los programas de estudio, para lo cual ha de diseñar actividades y</w:t>
            </w:r>
          </w:p>
          <w:p w14:paraId="3772601E" w14:textId="77777777" w:rsidR="00AB4CD7" w:rsidRPr="00B27700" w:rsidRDefault="00AB4CD7" w:rsidP="009E0A83">
            <w:pPr>
              <w:rPr>
                <w:rFonts w:ascii="Century Gothic" w:hAnsi="Century Gothic" w:cs="Arial"/>
                <w:sz w:val="24"/>
                <w:szCs w:val="24"/>
              </w:rPr>
            </w:pPr>
            <w:r w:rsidRPr="00B27700">
              <w:rPr>
                <w:rFonts w:ascii="Century Gothic" w:hAnsi="Century Gothic" w:cs="Arial"/>
                <w:sz w:val="24"/>
                <w:szCs w:val="24"/>
              </w:rPr>
              <w:t>tomar decisiones acerca de cómo evaluará el logro de dichos aprendizajes.</w:t>
            </w:r>
          </w:p>
          <w:p w14:paraId="39DE3CDC" w14:textId="77777777" w:rsidR="000C7EB8" w:rsidRPr="00B27700" w:rsidRDefault="009E0A83" w:rsidP="009E0A83">
            <w:pPr>
              <w:rPr>
                <w:rFonts w:ascii="Century Gothic" w:hAnsi="Century Gothic" w:cs="Arial"/>
                <w:sz w:val="24"/>
                <w:szCs w:val="24"/>
              </w:rPr>
            </w:pPr>
            <w:r w:rsidRPr="00B27700">
              <w:rPr>
                <w:rFonts w:ascii="Century Gothic" w:hAnsi="Century Gothic" w:cs="Arial"/>
                <w:sz w:val="24"/>
                <w:szCs w:val="24"/>
              </w:rPr>
              <w:t>La planeación se basa en el conocimiento previo de la realidad para controlar las acciones presentes, encaminadas al logro de un objetivo deseado y satisfactorio, y prever sus consecuencias futura.</w:t>
            </w:r>
          </w:p>
          <w:p w14:paraId="1DD19539" w14:textId="77777777" w:rsidR="00AB4CD7" w:rsidRPr="00B27700" w:rsidRDefault="00AB4CD7" w:rsidP="009E0A83">
            <w:pPr>
              <w:rPr>
                <w:rFonts w:ascii="Century Gothic" w:hAnsi="Century Gothic" w:cs="Arial"/>
                <w:sz w:val="24"/>
                <w:szCs w:val="24"/>
              </w:rPr>
            </w:pPr>
          </w:p>
        </w:tc>
        <w:tc>
          <w:tcPr>
            <w:tcW w:w="7803" w:type="dxa"/>
            <w:gridSpan w:val="7"/>
          </w:tcPr>
          <w:p w14:paraId="0C566242"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La evaluación ocupa un lugar protagónico en el proceso educativo para mejorar los aprendizajes de los estudiantes y la práctica pedagógica de los</w:t>
            </w:r>
          </w:p>
          <w:p w14:paraId="69043A71"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w:t>
            </w:r>
          </w:p>
          <w:p w14:paraId="6242F14B" w14:textId="77777777" w:rsidR="000C7EB8" w:rsidRPr="00B27700" w:rsidRDefault="009E0A83" w:rsidP="009E0A83">
            <w:pPr>
              <w:rPr>
                <w:rFonts w:ascii="Century Gothic" w:hAnsi="Century Gothic" w:cs="Arial"/>
                <w:sz w:val="24"/>
                <w:szCs w:val="24"/>
              </w:rPr>
            </w:pPr>
            <w:r w:rsidRPr="00B27700">
              <w:rPr>
                <w:rFonts w:ascii="Century Gothic" w:hAnsi="Century Gothic" w:cs="Arial"/>
                <w:sz w:val="24"/>
                <w:szCs w:val="24"/>
              </w:rPr>
              <w:t xml:space="preserve">La evaluación es un proceso continuo y personalizado dentro del sistema de enseñanza-aprendizaje cuyo objetivo es conocer la evolución de cada estudiante para, si es necesario, adoptar medidas de refuerzo o de compensación para garantizar que se alcanzan los objetivos educativos definidos para su nivel. </w:t>
            </w:r>
          </w:p>
          <w:p w14:paraId="3D2FA7D5" w14:textId="77777777" w:rsidR="009E0A83" w:rsidRPr="00B27700" w:rsidRDefault="009E0A83" w:rsidP="00096FE6">
            <w:pPr>
              <w:rPr>
                <w:rFonts w:ascii="Century Gothic" w:hAnsi="Century Gothic" w:cs="Arial"/>
                <w:sz w:val="24"/>
                <w:szCs w:val="24"/>
              </w:rPr>
            </w:pPr>
          </w:p>
        </w:tc>
      </w:tr>
      <w:tr w:rsidR="001C1F2B" w:rsidRPr="00B27700" w14:paraId="50EF34EC" w14:textId="77777777" w:rsidTr="00B27700">
        <w:trPr>
          <w:gridAfter w:val="1"/>
          <w:wAfter w:w="236" w:type="dxa"/>
          <w:trHeight w:val="2552"/>
        </w:trPr>
        <w:tc>
          <w:tcPr>
            <w:tcW w:w="2455" w:type="dxa"/>
            <w:shd w:val="clear" w:color="auto" w:fill="C5E0B3" w:themeFill="accent6" w:themeFillTint="66"/>
          </w:tcPr>
          <w:p w14:paraId="708B4EAE"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Características </w:t>
            </w:r>
          </w:p>
        </w:tc>
        <w:tc>
          <w:tcPr>
            <w:tcW w:w="3209" w:type="dxa"/>
            <w:gridSpan w:val="2"/>
          </w:tcPr>
          <w:p w14:paraId="2B564A2B" w14:textId="77777777" w:rsidR="000C7EB8"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Sistemática </w:t>
            </w:r>
          </w:p>
          <w:p w14:paraId="28682F43"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Participativa </w:t>
            </w:r>
          </w:p>
          <w:p w14:paraId="3FE9D66F"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Sujeta a evaluación </w:t>
            </w:r>
          </w:p>
          <w:p w14:paraId="08D449E7"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Corregir errores y omisiones </w:t>
            </w:r>
          </w:p>
          <w:p w14:paraId="5323D3C5"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Diagnóstico del grupo </w:t>
            </w:r>
          </w:p>
          <w:p w14:paraId="208016E4"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Descripción del contexto externo e interno</w:t>
            </w:r>
          </w:p>
          <w:p w14:paraId="6CFAF900"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 </w:t>
            </w:r>
            <w:r w:rsidR="00AB4CD7" w:rsidRPr="00B27700">
              <w:rPr>
                <w:rFonts w:ascii="Century Gothic" w:hAnsi="Century Gothic" w:cs="Arial"/>
                <w:sz w:val="24"/>
                <w:szCs w:val="24"/>
              </w:rPr>
              <w:t xml:space="preserve">Flexible </w:t>
            </w:r>
          </w:p>
          <w:p w14:paraId="732F5C79"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Organizada </w:t>
            </w:r>
          </w:p>
          <w:p w14:paraId="7AFB8850"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Intencionada </w:t>
            </w:r>
          </w:p>
          <w:p w14:paraId="1EA956BB"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Practica </w:t>
            </w:r>
          </w:p>
          <w:p w14:paraId="61710C8A" w14:textId="77777777" w:rsidR="00AB4CD7" w:rsidRPr="00B27700" w:rsidRDefault="00AB4CD7" w:rsidP="00AB4CD7">
            <w:pPr>
              <w:pStyle w:val="Prrafodelista"/>
              <w:rPr>
                <w:rFonts w:ascii="Century Gothic" w:hAnsi="Century Gothic" w:cs="Arial"/>
                <w:sz w:val="24"/>
                <w:szCs w:val="24"/>
              </w:rPr>
            </w:pPr>
          </w:p>
        </w:tc>
        <w:tc>
          <w:tcPr>
            <w:tcW w:w="7803" w:type="dxa"/>
            <w:gridSpan w:val="7"/>
          </w:tcPr>
          <w:p w14:paraId="48FAE459" w14:textId="77777777" w:rsidR="000C7EB8"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Integral </w:t>
            </w:r>
          </w:p>
          <w:p w14:paraId="5C16F87B"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Objetiva </w:t>
            </w:r>
          </w:p>
          <w:p w14:paraId="784771D4"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Permanente </w:t>
            </w:r>
          </w:p>
          <w:p w14:paraId="67E6C87A"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Sistemática </w:t>
            </w:r>
          </w:p>
          <w:p w14:paraId="1BA5D0E8"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Continua </w:t>
            </w:r>
          </w:p>
          <w:p w14:paraId="434C0CED"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Funcional </w:t>
            </w:r>
          </w:p>
          <w:p w14:paraId="5798C639"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Global </w:t>
            </w:r>
          </w:p>
          <w:p w14:paraId="1AF968A7"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Cooperativa </w:t>
            </w:r>
          </w:p>
          <w:p w14:paraId="6D309061"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Verídica </w:t>
            </w:r>
          </w:p>
          <w:p w14:paraId="7B1FBE8A"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Flexible </w:t>
            </w:r>
          </w:p>
          <w:p w14:paraId="0BDDA427"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Acumulativa </w:t>
            </w:r>
          </w:p>
        </w:tc>
      </w:tr>
      <w:tr w:rsidR="001C1F2B" w:rsidRPr="00B27700" w14:paraId="08C993B2" w14:textId="77777777" w:rsidTr="00B27700">
        <w:trPr>
          <w:gridAfter w:val="1"/>
          <w:wAfter w:w="236" w:type="dxa"/>
          <w:trHeight w:val="1352"/>
        </w:trPr>
        <w:tc>
          <w:tcPr>
            <w:tcW w:w="2455" w:type="dxa"/>
            <w:shd w:val="clear" w:color="auto" w:fill="C5E0B3" w:themeFill="accent6" w:themeFillTint="66"/>
          </w:tcPr>
          <w:p w14:paraId="03CE29E4"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Propósitos/finalidades </w:t>
            </w:r>
          </w:p>
        </w:tc>
        <w:tc>
          <w:tcPr>
            <w:tcW w:w="3209" w:type="dxa"/>
            <w:gridSpan w:val="2"/>
          </w:tcPr>
          <w:p w14:paraId="1729AF60" w14:textId="77777777" w:rsidR="000C7EB8" w:rsidRPr="00B27700" w:rsidRDefault="00AB4CD7" w:rsidP="00AB4CD7">
            <w:pPr>
              <w:rPr>
                <w:rFonts w:ascii="Century Gothic" w:hAnsi="Century Gothic" w:cs="Arial"/>
                <w:sz w:val="24"/>
                <w:szCs w:val="24"/>
              </w:rPr>
            </w:pPr>
            <w:r w:rsidRPr="00B27700">
              <w:rPr>
                <w:rFonts w:ascii="Century Gothic" w:hAnsi="Century Gothic" w:cs="Arial"/>
                <w:sz w:val="24"/>
                <w:szCs w:val="24"/>
              </w:rPr>
              <w:t>El propósito de la planeación es determinar lo que debe hacerse en el presente, para estar en una situación satisfactoria en el futuro. Intenta asegurar el uso efectivo de los recursos disponibles que conduzcan al logro de los objetivos más importantes y busca prevenir crisis por aparecer.</w:t>
            </w:r>
          </w:p>
          <w:p w14:paraId="3539BB69" w14:textId="77777777" w:rsidR="00AB4CD7" w:rsidRPr="00B27700" w:rsidRDefault="00AB4CD7" w:rsidP="00AB4CD7">
            <w:pPr>
              <w:rPr>
                <w:rFonts w:ascii="Century Gothic" w:hAnsi="Century Gothic" w:cs="Arial"/>
                <w:sz w:val="24"/>
                <w:szCs w:val="24"/>
              </w:rPr>
            </w:pPr>
          </w:p>
        </w:tc>
        <w:tc>
          <w:tcPr>
            <w:tcW w:w="7803" w:type="dxa"/>
            <w:gridSpan w:val="7"/>
          </w:tcPr>
          <w:p w14:paraId="02D77434"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El objetivo principal de la evaluación es el retroalimentar el proceso</w:t>
            </w:r>
          </w:p>
          <w:p w14:paraId="1E91A631"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enseñanza-aprendizaje; esto significa que los datos obtenidos en la</w:t>
            </w:r>
          </w:p>
          <w:p w14:paraId="54A15B3A"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evaluación servirán a los que intervienen en dicho proceso (docentes alumnos) en forma directa para mejorar las deficiencias que se</w:t>
            </w:r>
          </w:p>
          <w:p w14:paraId="4D359E1B"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presenten en la realización del proceso e incidir en el mejoramiento de</w:t>
            </w:r>
          </w:p>
          <w:p w14:paraId="1CFF4A14" w14:textId="77777777" w:rsidR="000C7EB8" w:rsidRPr="00B27700" w:rsidRDefault="00096FE6" w:rsidP="00096FE6">
            <w:pPr>
              <w:rPr>
                <w:rFonts w:ascii="Century Gothic" w:hAnsi="Century Gothic" w:cs="Arial"/>
                <w:sz w:val="24"/>
                <w:szCs w:val="24"/>
              </w:rPr>
            </w:pPr>
            <w:r w:rsidRPr="00B27700">
              <w:rPr>
                <w:rFonts w:ascii="Century Gothic" w:hAnsi="Century Gothic" w:cs="Arial"/>
                <w:sz w:val="24"/>
                <w:szCs w:val="24"/>
              </w:rPr>
              <w:t xml:space="preserve">la calidad y en consecuencia el rendimiento en el Proceso Enseñanza Aprendizaje. </w:t>
            </w:r>
          </w:p>
        </w:tc>
      </w:tr>
      <w:tr w:rsidR="001C1F2B" w:rsidRPr="00B27700" w14:paraId="6AC28836" w14:textId="77777777" w:rsidTr="00B27700">
        <w:trPr>
          <w:gridAfter w:val="1"/>
          <w:wAfter w:w="236" w:type="dxa"/>
          <w:trHeight w:val="1400"/>
        </w:trPr>
        <w:tc>
          <w:tcPr>
            <w:tcW w:w="2455" w:type="dxa"/>
            <w:shd w:val="clear" w:color="auto" w:fill="C5E0B3" w:themeFill="accent6" w:themeFillTint="66"/>
          </w:tcPr>
          <w:p w14:paraId="3833D082"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lastRenderedPageBreak/>
              <w:t>Enfoque</w:t>
            </w:r>
          </w:p>
        </w:tc>
        <w:tc>
          <w:tcPr>
            <w:tcW w:w="3209" w:type="dxa"/>
            <w:gridSpan w:val="2"/>
          </w:tcPr>
          <w:p w14:paraId="36D2D196" w14:textId="77777777" w:rsidR="000C7EB8" w:rsidRPr="00B27700" w:rsidRDefault="000C7EB8" w:rsidP="00096FE6">
            <w:pPr>
              <w:rPr>
                <w:rFonts w:ascii="Century Gothic" w:hAnsi="Century Gothic" w:cs="Arial"/>
                <w:sz w:val="24"/>
                <w:szCs w:val="24"/>
              </w:rPr>
            </w:pPr>
          </w:p>
        </w:tc>
        <w:tc>
          <w:tcPr>
            <w:tcW w:w="7803" w:type="dxa"/>
            <w:gridSpan w:val="7"/>
          </w:tcPr>
          <w:p w14:paraId="50BF3079"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Este es el enfoque formativo de la evaluación y se le considera así, cuando se lleva a cabo con el propósito de obtener información para que cada</w:t>
            </w:r>
          </w:p>
          <w:p w14:paraId="51B368A6" w14:textId="77777777" w:rsidR="000C7EB8" w:rsidRPr="00B27700" w:rsidRDefault="00096FE6" w:rsidP="00096FE6">
            <w:pPr>
              <w:rPr>
                <w:rFonts w:ascii="Century Gothic" w:hAnsi="Century Gothic" w:cs="Arial"/>
                <w:sz w:val="24"/>
                <w:szCs w:val="24"/>
              </w:rPr>
            </w:pPr>
            <w:r w:rsidRPr="00B27700">
              <w:rPr>
                <w:rFonts w:ascii="Century Gothic" w:hAnsi="Century Gothic" w:cs="Arial"/>
                <w:sz w:val="24"/>
                <w:szCs w:val="24"/>
              </w:rPr>
              <w:t>uno de los actores involucrados tome decisiones que conduzcan al cumplimiento de los propósitos educativos</w:t>
            </w:r>
          </w:p>
        </w:tc>
      </w:tr>
      <w:tr w:rsidR="001C1F2B" w:rsidRPr="00B27700" w14:paraId="2B69BF36" w14:textId="77777777" w:rsidTr="00B27700">
        <w:trPr>
          <w:gridAfter w:val="1"/>
          <w:wAfter w:w="236" w:type="dxa"/>
          <w:trHeight w:val="563"/>
        </w:trPr>
        <w:tc>
          <w:tcPr>
            <w:tcW w:w="2455" w:type="dxa"/>
            <w:shd w:val="clear" w:color="auto" w:fill="C5E0B3" w:themeFill="accent6" w:themeFillTint="66"/>
          </w:tcPr>
          <w:p w14:paraId="43F06CA3"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Etapas o fases </w:t>
            </w:r>
          </w:p>
        </w:tc>
        <w:tc>
          <w:tcPr>
            <w:tcW w:w="3209" w:type="dxa"/>
            <w:gridSpan w:val="2"/>
          </w:tcPr>
          <w:p w14:paraId="79848E1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diagnostico</w:t>
            </w:r>
          </w:p>
          <w:p w14:paraId="6D4B0EBF"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análisis de la naturaleza del problema</w:t>
            </w:r>
          </w:p>
          <w:p w14:paraId="738196DE"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diseño y evaluación de las operaciones de acción</w:t>
            </w:r>
          </w:p>
          <w:p w14:paraId="4D85A8A0"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La implementación y evaluación</w:t>
            </w:r>
          </w:p>
          <w:p w14:paraId="1BA2E435"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La clasificación previa de supuestos básicos: epistemológicos, axiológicos, teleológicos y futurológicos.</w:t>
            </w:r>
          </w:p>
          <w:p w14:paraId="5319962D" w14:textId="77777777" w:rsidR="000C7EB8" w:rsidRPr="00B27700" w:rsidRDefault="000C7EB8" w:rsidP="00B27700">
            <w:pPr>
              <w:rPr>
                <w:rFonts w:ascii="Century Gothic" w:hAnsi="Century Gothic" w:cs="Arial"/>
                <w:sz w:val="24"/>
                <w:szCs w:val="24"/>
              </w:rPr>
            </w:pPr>
          </w:p>
        </w:tc>
        <w:tc>
          <w:tcPr>
            <w:tcW w:w="7803" w:type="dxa"/>
            <w:gridSpan w:val="7"/>
          </w:tcPr>
          <w:p w14:paraId="17A31CC8" w14:textId="77777777" w:rsidR="000C7EB8"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Evaluación inicial</w:t>
            </w:r>
          </w:p>
          <w:p w14:paraId="6793F5BA"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diagnostica </w:t>
            </w:r>
          </w:p>
          <w:p w14:paraId="3246CEF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formativa </w:t>
            </w:r>
          </w:p>
          <w:p w14:paraId="617DBC6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sumativa </w:t>
            </w:r>
          </w:p>
          <w:p w14:paraId="2FB0C45C" w14:textId="77777777" w:rsidR="00B27700" w:rsidRPr="00B27700" w:rsidRDefault="00B27700" w:rsidP="00B27700">
            <w:pPr>
              <w:pStyle w:val="Prrafodelista"/>
              <w:rPr>
                <w:rFonts w:ascii="Century Gothic" w:hAnsi="Century Gothic" w:cs="Arial"/>
                <w:sz w:val="24"/>
                <w:szCs w:val="24"/>
              </w:rPr>
            </w:pPr>
          </w:p>
        </w:tc>
      </w:tr>
      <w:tr w:rsidR="00F823FE" w:rsidRPr="00B27700" w14:paraId="49058DED" w14:textId="77777777" w:rsidTr="00B27700">
        <w:trPr>
          <w:trHeight w:val="541"/>
        </w:trPr>
        <w:tc>
          <w:tcPr>
            <w:tcW w:w="2455" w:type="dxa"/>
            <w:vMerge w:val="restart"/>
            <w:shd w:val="clear" w:color="auto" w:fill="C5E0B3" w:themeFill="accent6" w:themeFillTint="66"/>
          </w:tcPr>
          <w:p w14:paraId="12D94087"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Tipos </w:t>
            </w:r>
          </w:p>
        </w:tc>
        <w:tc>
          <w:tcPr>
            <w:tcW w:w="3209" w:type="dxa"/>
            <w:gridSpan w:val="2"/>
            <w:vMerge w:val="restart"/>
          </w:tcPr>
          <w:p w14:paraId="338D4094" w14:textId="77777777" w:rsidR="00F823FE" w:rsidRPr="00B27700" w:rsidRDefault="00F823FE" w:rsidP="000C7EB8">
            <w:pPr>
              <w:rPr>
                <w:rFonts w:ascii="Century Gothic" w:hAnsi="Century Gothic" w:cs="Arial"/>
                <w:sz w:val="24"/>
                <w:szCs w:val="24"/>
              </w:rPr>
            </w:pPr>
            <w:r w:rsidRPr="00B27700">
              <w:rPr>
                <w:rFonts w:ascii="Century Gothic" w:hAnsi="Century Gothic" w:cs="Arial"/>
                <w:sz w:val="24"/>
                <w:szCs w:val="24"/>
              </w:rPr>
              <w:t>Lista de los tipos de planeación:</w:t>
            </w:r>
          </w:p>
          <w:p w14:paraId="4CF336D2"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Normativa tradicional</w:t>
            </w:r>
          </w:p>
          <w:p w14:paraId="298AF3F3"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Operacional</w:t>
            </w:r>
          </w:p>
          <w:p w14:paraId="52BD8D10"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Situacional</w:t>
            </w:r>
          </w:p>
          <w:p w14:paraId="4CD98C35" w14:textId="77777777" w:rsidR="00F823FE"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Estratégica</w:t>
            </w:r>
          </w:p>
        </w:tc>
        <w:tc>
          <w:tcPr>
            <w:tcW w:w="3125" w:type="dxa"/>
            <w:gridSpan w:val="3"/>
            <w:shd w:val="clear" w:color="auto" w:fill="B4C6E7" w:themeFill="accent5" w:themeFillTint="66"/>
          </w:tcPr>
          <w:p w14:paraId="50E4AE96"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Diagnostica </w:t>
            </w:r>
          </w:p>
          <w:p w14:paraId="700A8875"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o inicial </w:t>
            </w:r>
          </w:p>
        </w:tc>
        <w:tc>
          <w:tcPr>
            <w:tcW w:w="1559" w:type="dxa"/>
            <w:shd w:val="clear" w:color="auto" w:fill="B4C6E7" w:themeFill="accent5" w:themeFillTint="66"/>
          </w:tcPr>
          <w:p w14:paraId="5F21D3C8"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Formativa o continua</w:t>
            </w:r>
          </w:p>
        </w:tc>
        <w:tc>
          <w:tcPr>
            <w:tcW w:w="1560" w:type="dxa"/>
            <w:gridSpan w:val="2"/>
            <w:shd w:val="clear" w:color="auto" w:fill="B4C6E7" w:themeFill="accent5" w:themeFillTint="66"/>
          </w:tcPr>
          <w:p w14:paraId="2FC6936C"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Sumativa</w:t>
            </w:r>
          </w:p>
          <w:p w14:paraId="7012620F"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o final</w:t>
            </w:r>
          </w:p>
        </w:tc>
        <w:tc>
          <w:tcPr>
            <w:tcW w:w="1559" w:type="dxa"/>
            <w:shd w:val="clear" w:color="auto" w:fill="B4C6E7" w:themeFill="accent5" w:themeFillTint="66"/>
          </w:tcPr>
          <w:p w14:paraId="0C48D2C3" w14:textId="77777777" w:rsidR="00F823FE" w:rsidRPr="00B27700" w:rsidRDefault="00F823FE" w:rsidP="000C7EB8">
            <w:pPr>
              <w:rPr>
                <w:rFonts w:ascii="Century Gothic" w:hAnsi="Century Gothic" w:cs="Arial"/>
                <w:b/>
                <w:sz w:val="24"/>
                <w:szCs w:val="24"/>
              </w:rPr>
            </w:pPr>
            <w:r w:rsidRPr="00B27700">
              <w:rPr>
                <w:rFonts w:ascii="Century Gothic" w:hAnsi="Century Gothic" w:cs="Arial"/>
                <w:b/>
                <w:sz w:val="24"/>
                <w:szCs w:val="24"/>
              </w:rPr>
              <w:t xml:space="preserve">Autoevaluación </w:t>
            </w:r>
          </w:p>
        </w:tc>
        <w:tc>
          <w:tcPr>
            <w:tcW w:w="236" w:type="dxa"/>
            <w:vMerge w:val="restart"/>
            <w:tcBorders>
              <w:top w:val="nil"/>
              <w:bottom w:val="nil"/>
              <w:right w:val="nil"/>
            </w:tcBorders>
          </w:tcPr>
          <w:p w14:paraId="60CA3950" w14:textId="77777777" w:rsidR="00F823FE" w:rsidRPr="00B27700" w:rsidRDefault="00F823FE" w:rsidP="000C7EB8">
            <w:pPr>
              <w:rPr>
                <w:rFonts w:ascii="Century Gothic" w:hAnsi="Century Gothic" w:cs="Arial"/>
                <w:b/>
                <w:sz w:val="24"/>
                <w:szCs w:val="24"/>
              </w:rPr>
            </w:pPr>
          </w:p>
        </w:tc>
      </w:tr>
      <w:tr w:rsidR="00F823FE" w:rsidRPr="00B27700" w14:paraId="36ADE53E" w14:textId="77777777" w:rsidTr="00B27700">
        <w:trPr>
          <w:trHeight w:val="465"/>
        </w:trPr>
        <w:tc>
          <w:tcPr>
            <w:tcW w:w="2455" w:type="dxa"/>
            <w:vMerge/>
            <w:shd w:val="clear" w:color="auto" w:fill="C5E0B3" w:themeFill="accent6" w:themeFillTint="66"/>
          </w:tcPr>
          <w:p w14:paraId="75228B18" w14:textId="77777777" w:rsidR="00F823FE" w:rsidRPr="00B27700" w:rsidRDefault="00F823FE" w:rsidP="000C7EB8">
            <w:pPr>
              <w:jc w:val="center"/>
              <w:rPr>
                <w:rFonts w:ascii="Century Gothic" w:hAnsi="Century Gothic" w:cs="Arial"/>
                <w:b/>
                <w:sz w:val="24"/>
                <w:szCs w:val="24"/>
              </w:rPr>
            </w:pPr>
          </w:p>
        </w:tc>
        <w:tc>
          <w:tcPr>
            <w:tcW w:w="3209" w:type="dxa"/>
            <w:gridSpan w:val="2"/>
            <w:vMerge/>
          </w:tcPr>
          <w:p w14:paraId="493F1B4B" w14:textId="77777777" w:rsidR="00F823FE" w:rsidRPr="00B27700" w:rsidRDefault="00F823FE" w:rsidP="000C7EB8">
            <w:pPr>
              <w:rPr>
                <w:rFonts w:ascii="Century Gothic" w:hAnsi="Century Gothic" w:cs="Arial"/>
                <w:sz w:val="24"/>
                <w:szCs w:val="24"/>
              </w:rPr>
            </w:pPr>
          </w:p>
        </w:tc>
        <w:tc>
          <w:tcPr>
            <w:tcW w:w="3125" w:type="dxa"/>
            <w:gridSpan w:val="3"/>
          </w:tcPr>
          <w:p w14:paraId="1506E497" w14:textId="77777777" w:rsidR="00F823FE" w:rsidRPr="00B27700" w:rsidRDefault="00F823FE" w:rsidP="001C1F2B">
            <w:pPr>
              <w:rPr>
                <w:rFonts w:ascii="Century Gothic" w:hAnsi="Century Gothic" w:cs="Arial"/>
                <w:sz w:val="24"/>
                <w:szCs w:val="24"/>
              </w:rPr>
            </w:pPr>
            <w:r w:rsidRPr="00B27700">
              <w:rPr>
                <w:rFonts w:ascii="Century Gothic" w:hAnsi="Century Gothic" w:cs="Arial"/>
                <w:sz w:val="24"/>
                <w:szCs w:val="24"/>
              </w:rPr>
              <w:t xml:space="preserve">Santos (1995:166), afirma que a través de la evaluación diagnóstica se puede saber cuál es el estado cognoscitivo y actitudinal de los estudiantes. Permite ajustar </w:t>
            </w:r>
            <w:r w:rsidRPr="00B27700">
              <w:rPr>
                <w:rFonts w:ascii="Century Gothic" w:hAnsi="Century Gothic" w:cs="Arial"/>
                <w:sz w:val="24"/>
                <w:szCs w:val="24"/>
              </w:rPr>
              <w:lastRenderedPageBreak/>
              <w:t xml:space="preserve">la acción a las características de los estudiantes </w:t>
            </w:r>
          </w:p>
        </w:tc>
        <w:tc>
          <w:tcPr>
            <w:tcW w:w="1559" w:type="dxa"/>
          </w:tcPr>
          <w:p w14:paraId="447C2E40"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evaluación formativa como valor de desempeño debe ser de </w:t>
            </w:r>
            <w:r w:rsidRPr="00B27700">
              <w:rPr>
                <w:rFonts w:ascii="Century Gothic" w:hAnsi="Century Gothic" w:cs="Arial"/>
                <w:sz w:val="24"/>
                <w:szCs w:val="24"/>
              </w:rPr>
              <w:lastRenderedPageBreak/>
              <w:t xml:space="preserve">provechosa para el proceso de enseñanza – aprendizaje. En este sentido, </w:t>
            </w:r>
            <w:proofErr w:type="spellStart"/>
            <w:r w:rsidRPr="00B27700">
              <w:rPr>
                <w:rFonts w:ascii="Century Gothic" w:hAnsi="Century Gothic" w:cs="Arial"/>
                <w:sz w:val="24"/>
                <w:szCs w:val="24"/>
              </w:rPr>
              <w:t>Neus</w:t>
            </w:r>
            <w:proofErr w:type="spellEnd"/>
            <w:r w:rsidRPr="00B27700">
              <w:rPr>
                <w:rFonts w:ascii="Century Gothic" w:hAnsi="Century Gothic" w:cs="Arial"/>
                <w:sz w:val="24"/>
                <w:szCs w:val="24"/>
              </w:rPr>
              <w:t xml:space="preserve"> </w:t>
            </w:r>
            <w:proofErr w:type="spellStart"/>
            <w:r w:rsidRPr="00B27700">
              <w:rPr>
                <w:rFonts w:ascii="Century Gothic" w:hAnsi="Century Gothic" w:cs="Arial"/>
                <w:sz w:val="24"/>
                <w:szCs w:val="24"/>
              </w:rPr>
              <w:t>Sanmartí</w:t>
            </w:r>
            <w:proofErr w:type="spellEnd"/>
            <w:r w:rsidRPr="00B27700">
              <w:rPr>
                <w:rFonts w:ascii="Century Gothic" w:hAnsi="Century Gothic" w:cs="Arial"/>
                <w:sz w:val="24"/>
                <w:szCs w:val="24"/>
              </w:rPr>
              <w:t xml:space="preserve"> la define como todas las actividades que desarrollan docentes y estudiantes para evaluarse a sí mismos, proporcionando información que puede resultar de utilidad para la revisión y modificación de las actividades involucradas en el proceso </w:t>
            </w:r>
            <w:r w:rsidRPr="00B27700">
              <w:rPr>
                <w:rFonts w:ascii="Century Gothic" w:hAnsi="Century Gothic" w:cs="Arial"/>
                <w:sz w:val="24"/>
                <w:szCs w:val="24"/>
              </w:rPr>
              <w:lastRenderedPageBreak/>
              <w:t>de enseñanza – aprendizaje.</w:t>
            </w:r>
          </w:p>
        </w:tc>
        <w:tc>
          <w:tcPr>
            <w:tcW w:w="1560" w:type="dxa"/>
            <w:gridSpan w:val="2"/>
          </w:tcPr>
          <w:p w14:paraId="6B072C55"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evaluación sumativa es un proceso mediante el cual se estudian los </w:t>
            </w:r>
            <w:r w:rsidRPr="00B27700">
              <w:rPr>
                <w:rFonts w:ascii="Century Gothic" w:hAnsi="Century Gothic" w:cs="Arial"/>
                <w:sz w:val="24"/>
                <w:szCs w:val="24"/>
              </w:rPr>
              <w:lastRenderedPageBreak/>
              <w:t>resultados de un proceso de aprendizaje una vez que se ha terminado el mismo. Su principal objetivo es comprobar cuánto han aprendido los alumnos, por lo que pone el foco en recoger información y en elaborar métodos de evaluación fiables.</w:t>
            </w:r>
          </w:p>
        </w:tc>
        <w:tc>
          <w:tcPr>
            <w:tcW w:w="1559" w:type="dxa"/>
          </w:tcPr>
          <w:p w14:paraId="0D3CA5FA"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autoevaluación es una herramienta que se utiliza para </w:t>
            </w:r>
            <w:r w:rsidRPr="00B27700">
              <w:rPr>
                <w:rFonts w:ascii="Century Gothic" w:hAnsi="Century Gothic" w:cs="Arial"/>
                <w:sz w:val="24"/>
                <w:szCs w:val="24"/>
              </w:rPr>
              <w:lastRenderedPageBreak/>
              <w:t>examinar la calidad del propio trabajo, desempeño, habilidades o actitudes. Se trata de un recurso que puede utilizarse en muchos ámbitos, aunque es especialmente usado en el área laboral y dentro del sistema educativo, como complemento a otros sistemas evaluativos más tradicionales.</w:t>
            </w:r>
          </w:p>
        </w:tc>
        <w:tc>
          <w:tcPr>
            <w:tcW w:w="236" w:type="dxa"/>
            <w:vMerge/>
            <w:tcBorders>
              <w:bottom w:val="nil"/>
              <w:right w:val="nil"/>
            </w:tcBorders>
          </w:tcPr>
          <w:p w14:paraId="6AB82D47" w14:textId="77777777" w:rsidR="00F823FE" w:rsidRPr="00B27700" w:rsidRDefault="00F823FE" w:rsidP="000C7EB8">
            <w:pPr>
              <w:jc w:val="center"/>
              <w:rPr>
                <w:rFonts w:ascii="Century Gothic" w:hAnsi="Century Gothic" w:cs="Arial"/>
                <w:sz w:val="24"/>
                <w:szCs w:val="24"/>
              </w:rPr>
            </w:pPr>
          </w:p>
        </w:tc>
      </w:tr>
      <w:tr w:rsidR="00F823FE" w:rsidRPr="00B27700" w14:paraId="6B5F7EB3" w14:textId="77777777" w:rsidTr="00B27700">
        <w:trPr>
          <w:gridAfter w:val="1"/>
          <w:wAfter w:w="236" w:type="dxa"/>
          <w:trHeight w:val="585"/>
        </w:trPr>
        <w:tc>
          <w:tcPr>
            <w:tcW w:w="2455" w:type="dxa"/>
            <w:vMerge/>
            <w:shd w:val="clear" w:color="auto" w:fill="C5E0B3" w:themeFill="accent6" w:themeFillTint="66"/>
          </w:tcPr>
          <w:p w14:paraId="48405D4E" w14:textId="77777777" w:rsidR="000C7EB8" w:rsidRPr="00B27700" w:rsidRDefault="000C7EB8" w:rsidP="000C7EB8">
            <w:pPr>
              <w:jc w:val="center"/>
              <w:rPr>
                <w:rFonts w:ascii="Century Gothic" w:hAnsi="Century Gothic" w:cs="Arial"/>
                <w:b/>
                <w:sz w:val="24"/>
                <w:szCs w:val="24"/>
              </w:rPr>
            </w:pPr>
          </w:p>
        </w:tc>
        <w:tc>
          <w:tcPr>
            <w:tcW w:w="3209" w:type="dxa"/>
            <w:gridSpan w:val="2"/>
            <w:vMerge/>
          </w:tcPr>
          <w:p w14:paraId="684854BF" w14:textId="77777777" w:rsidR="000C7EB8" w:rsidRPr="00B27700" w:rsidRDefault="000C7EB8" w:rsidP="000C7EB8">
            <w:pPr>
              <w:rPr>
                <w:rFonts w:ascii="Century Gothic" w:hAnsi="Century Gothic" w:cs="Arial"/>
                <w:sz w:val="24"/>
                <w:szCs w:val="24"/>
              </w:rPr>
            </w:pPr>
          </w:p>
        </w:tc>
        <w:tc>
          <w:tcPr>
            <w:tcW w:w="3125" w:type="dxa"/>
            <w:gridSpan w:val="3"/>
            <w:shd w:val="clear" w:color="auto" w:fill="B4C6E7" w:themeFill="accent5" w:themeFillTint="66"/>
          </w:tcPr>
          <w:p w14:paraId="39E8144E" w14:textId="77777777" w:rsidR="000C7EB8" w:rsidRPr="00B27700" w:rsidRDefault="000C7EB8" w:rsidP="000C7EB8">
            <w:pPr>
              <w:rPr>
                <w:rFonts w:ascii="Century Gothic" w:hAnsi="Century Gothic" w:cs="Arial"/>
                <w:b/>
                <w:sz w:val="24"/>
                <w:szCs w:val="24"/>
              </w:rPr>
            </w:pPr>
            <w:r w:rsidRPr="00B27700">
              <w:rPr>
                <w:rFonts w:ascii="Century Gothic" w:hAnsi="Century Gothic" w:cs="Arial"/>
                <w:b/>
                <w:sz w:val="24"/>
                <w:szCs w:val="24"/>
              </w:rPr>
              <w:t xml:space="preserve">Coevaluación </w:t>
            </w:r>
          </w:p>
        </w:tc>
        <w:tc>
          <w:tcPr>
            <w:tcW w:w="1559" w:type="dxa"/>
            <w:shd w:val="clear" w:color="auto" w:fill="B4C6E7" w:themeFill="accent5" w:themeFillTint="66"/>
          </w:tcPr>
          <w:p w14:paraId="175FC3EA"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Hetero</w:t>
            </w:r>
          </w:p>
          <w:p w14:paraId="4FEB97BD"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evaluación </w:t>
            </w:r>
          </w:p>
        </w:tc>
        <w:tc>
          <w:tcPr>
            <w:tcW w:w="3119" w:type="dxa"/>
            <w:gridSpan w:val="3"/>
            <w:shd w:val="clear" w:color="auto" w:fill="B4C6E7" w:themeFill="accent5" w:themeFillTint="66"/>
          </w:tcPr>
          <w:p w14:paraId="1C28FC30"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Evaluación autentica </w:t>
            </w:r>
          </w:p>
        </w:tc>
      </w:tr>
      <w:tr w:rsidR="001C1F2B" w:rsidRPr="00B27700" w14:paraId="0FAD7645" w14:textId="77777777" w:rsidTr="00B27700">
        <w:trPr>
          <w:trHeight w:val="765"/>
        </w:trPr>
        <w:tc>
          <w:tcPr>
            <w:tcW w:w="2455" w:type="dxa"/>
            <w:vMerge/>
            <w:shd w:val="clear" w:color="auto" w:fill="C5E0B3" w:themeFill="accent6" w:themeFillTint="66"/>
          </w:tcPr>
          <w:p w14:paraId="498C7AE2" w14:textId="77777777" w:rsidR="000C7EB8" w:rsidRPr="00B27700" w:rsidRDefault="000C7EB8" w:rsidP="000C7EB8">
            <w:pPr>
              <w:jc w:val="center"/>
              <w:rPr>
                <w:rFonts w:ascii="Century Gothic" w:hAnsi="Century Gothic" w:cs="Arial"/>
                <w:b/>
                <w:sz w:val="24"/>
                <w:szCs w:val="24"/>
              </w:rPr>
            </w:pPr>
          </w:p>
        </w:tc>
        <w:tc>
          <w:tcPr>
            <w:tcW w:w="3209" w:type="dxa"/>
            <w:gridSpan w:val="2"/>
            <w:vMerge/>
          </w:tcPr>
          <w:p w14:paraId="2D5312A2" w14:textId="77777777" w:rsidR="000C7EB8" w:rsidRPr="00B27700" w:rsidRDefault="000C7EB8" w:rsidP="000C7EB8">
            <w:pPr>
              <w:rPr>
                <w:rFonts w:ascii="Century Gothic" w:hAnsi="Century Gothic" w:cs="Arial"/>
                <w:sz w:val="24"/>
                <w:szCs w:val="24"/>
              </w:rPr>
            </w:pPr>
          </w:p>
        </w:tc>
        <w:tc>
          <w:tcPr>
            <w:tcW w:w="3125" w:type="dxa"/>
            <w:gridSpan w:val="3"/>
          </w:tcPr>
          <w:p w14:paraId="66FEA538"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La coevaluación consiste, fundamentalmente, en que la evaluación de los trabajos del alumnado sea llevada a cabo por los alumnos mismos, observando, analizando y valorando los trabajos de sus compañeros. Se trata de un proceso realizado entre pares, basado en criterios predefinidos, normalmente sugeridos por el docente, que servirán para evaluar el desempeño y la calidad de los compañeros, a fin de comprender si han adquirido los aprendizajes que de ellos se espera.</w:t>
            </w:r>
          </w:p>
        </w:tc>
        <w:tc>
          <w:tcPr>
            <w:tcW w:w="1559" w:type="dxa"/>
          </w:tcPr>
          <w:p w14:paraId="5215436A"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La heteroevaluación consiste en la evaluación que realiza una persona a otra sobre algún aspecto como: su trabajo, su actitud, su rendimiento, etc. Es la evaluación que habitualmente  lleva a cabo el profesor de los estudiantes.</w:t>
            </w:r>
          </w:p>
        </w:tc>
        <w:tc>
          <w:tcPr>
            <w:tcW w:w="3119" w:type="dxa"/>
            <w:gridSpan w:val="3"/>
          </w:tcPr>
          <w:p w14:paraId="14C80CD5"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La “evaluación auténtica” hace participar a los estudiantes en la realización de tareas realistas que dan una idea clara de sus conocimientos, habilidades y capacidades. Es auténtica porque requiere que los estudiantes apliquen el conocimiento y las habilidades de manera que reflejen el mundo real. Las evaluaciones auténticas pueden incluir proyectos, presentaciones, experiencias en terreno, prácticas profesionales y otras actividades tanto fuera como dentro del aula. Ellas se pueden realizar durante un período de clases único, durante todo el curso o a través de diferentes semestres.</w:t>
            </w:r>
          </w:p>
        </w:tc>
        <w:tc>
          <w:tcPr>
            <w:tcW w:w="236" w:type="dxa"/>
            <w:tcBorders>
              <w:top w:val="nil"/>
              <w:bottom w:val="nil"/>
              <w:right w:val="nil"/>
            </w:tcBorders>
          </w:tcPr>
          <w:p w14:paraId="59A0FA41" w14:textId="77777777" w:rsidR="000C7EB8" w:rsidRPr="00B27700" w:rsidRDefault="000C7EB8" w:rsidP="000C7EB8">
            <w:pPr>
              <w:jc w:val="center"/>
              <w:rPr>
                <w:rFonts w:ascii="Century Gothic" w:hAnsi="Century Gothic" w:cs="Arial"/>
                <w:sz w:val="24"/>
                <w:szCs w:val="24"/>
              </w:rPr>
            </w:pPr>
          </w:p>
        </w:tc>
      </w:tr>
      <w:tr w:rsidR="001C1F2B" w:rsidRPr="00B27700" w14:paraId="4C4B578A" w14:textId="77777777" w:rsidTr="00B27700">
        <w:trPr>
          <w:gridAfter w:val="1"/>
          <w:wAfter w:w="236" w:type="dxa"/>
          <w:trHeight w:val="1168"/>
        </w:trPr>
        <w:tc>
          <w:tcPr>
            <w:tcW w:w="2455" w:type="dxa"/>
            <w:shd w:val="clear" w:color="auto" w:fill="C5E0B3" w:themeFill="accent6" w:themeFillTint="66"/>
          </w:tcPr>
          <w:p w14:paraId="0C9EE2B4"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Instrumentos </w:t>
            </w:r>
          </w:p>
        </w:tc>
        <w:tc>
          <w:tcPr>
            <w:tcW w:w="3209" w:type="dxa"/>
            <w:gridSpan w:val="2"/>
          </w:tcPr>
          <w:p w14:paraId="466BB841" w14:textId="77777777" w:rsidR="000C7EB8" w:rsidRPr="00B27700" w:rsidRDefault="000C7EB8" w:rsidP="000C7EB8">
            <w:pPr>
              <w:jc w:val="center"/>
              <w:rPr>
                <w:rFonts w:ascii="Century Gothic" w:hAnsi="Century Gothic" w:cs="Arial"/>
                <w:sz w:val="24"/>
                <w:szCs w:val="24"/>
              </w:rPr>
            </w:pPr>
          </w:p>
        </w:tc>
        <w:tc>
          <w:tcPr>
            <w:tcW w:w="7803" w:type="dxa"/>
            <w:gridSpan w:val="7"/>
          </w:tcPr>
          <w:p w14:paraId="2D887D8A"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Lista de diferentes instrumentos </w:t>
            </w:r>
          </w:p>
          <w:p w14:paraId="6844EE7F"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Socio-grama</w:t>
            </w:r>
          </w:p>
          <w:p w14:paraId="377E766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Gráficas</w:t>
            </w:r>
          </w:p>
          <w:p w14:paraId="0990EEF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Diario de campo o de trabajo</w:t>
            </w:r>
          </w:p>
          <w:p w14:paraId="182D21C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Cuaderno de observaciones diarias</w:t>
            </w:r>
          </w:p>
          <w:p w14:paraId="167575CF"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Expediente o portafolio</w:t>
            </w:r>
          </w:p>
          <w:p w14:paraId="3335479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Mapa conceptual</w:t>
            </w:r>
          </w:p>
          <w:p w14:paraId="1E091B78"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Guía de observaciones</w:t>
            </w:r>
          </w:p>
          <w:p w14:paraId="5E6F7E5E"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Rúbrica</w:t>
            </w:r>
          </w:p>
          <w:p w14:paraId="764FC9B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Lista de cotejo</w:t>
            </w:r>
          </w:p>
          <w:p w14:paraId="6DF97A9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Autobiografía</w:t>
            </w:r>
          </w:p>
          <w:p w14:paraId="16E002D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Historia de vida</w:t>
            </w:r>
          </w:p>
          <w:p w14:paraId="2AD9B6D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Línea del tiempo</w:t>
            </w:r>
          </w:p>
          <w:p w14:paraId="7D47390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Mapa mental</w:t>
            </w:r>
          </w:p>
          <w:p w14:paraId="3064B2B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Cuadro sinóptico</w:t>
            </w:r>
          </w:p>
          <w:p w14:paraId="2228EE39"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Prueba objetiva</w:t>
            </w:r>
          </w:p>
          <w:p w14:paraId="1747CF1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Entrevista</w:t>
            </w:r>
          </w:p>
          <w:p w14:paraId="38E03252"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Encuesta</w:t>
            </w:r>
          </w:p>
          <w:p w14:paraId="0BF7378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Cuestionario de preguntas abiertas/ dicotómicas</w:t>
            </w:r>
          </w:p>
          <w:p w14:paraId="2619F150" w14:textId="77777777" w:rsidR="00E600FC" w:rsidRPr="00B27700" w:rsidRDefault="00E600FC" w:rsidP="00E600FC">
            <w:pPr>
              <w:pStyle w:val="Prrafodelista"/>
              <w:rPr>
                <w:rFonts w:ascii="Century Gothic" w:hAnsi="Century Gothic" w:cs="Arial"/>
                <w:b/>
                <w:sz w:val="24"/>
                <w:szCs w:val="24"/>
              </w:rPr>
            </w:pPr>
          </w:p>
        </w:tc>
      </w:tr>
      <w:tr w:rsidR="001C1F2B" w:rsidRPr="00B27700" w14:paraId="77160E17" w14:textId="77777777" w:rsidTr="00B27700">
        <w:trPr>
          <w:gridAfter w:val="1"/>
          <w:wAfter w:w="236" w:type="dxa"/>
          <w:trHeight w:val="689"/>
        </w:trPr>
        <w:tc>
          <w:tcPr>
            <w:tcW w:w="2455" w:type="dxa"/>
            <w:shd w:val="clear" w:color="auto" w:fill="C5E0B3" w:themeFill="accent6" w:themeFillTint="66"/>
          </w:tcPr>
          <w:p w14:paraId="016A1BEF"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Elementos o aspectos </w:t>
            </w:r>
          </w:p>
        </w:tc>
        <w:tc>
          <w:tcPr>
            <w:tcW w:w="3209" w:type="dxa"/>
            <w:gridSpan w:val="2"/>
          </w:tcPr>
          <w:p w14:paraId="5EBE4849" w14:textId="77777777" w:rsidR="000C7EB8" w:rsidRPr="00B27700" w:rsidRDefault="009E0A83" w:rsidP="000C7EB8">
            <w:pPr>
              <w:jc w:val="center"/>
              <w:rPr>
                <w:rFonts w:ascii="Century Gothic" w:hAnsi="Century Gothic" w:cs="Arial"/>
                <w:sz w:val="24"/>
                <w:szCs w:val="24"/>
              </w:rPr>
            </w:pPr>
            <w:r w:rsidRPr="00B27700">
              <w:rPr>
                <w:rFonts w:ascii="Century Gothic" w:hAnsi="Century Gothic" w:cs="Arial"/>
                <w:sz w:val="24"/>
                <w:szCs w:val="24"/>
              </w:rPr>
              <w:t xml:space="preserve">Solo el listado de elementos </w:t>
            </w:r>
          </w:p>
          <w:p w14:paraId="44E7F5A8"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La investigación</w:t>
            </w:r>
          </w:p>
          <w:p w14:paraId="11C80ADF"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Los objetivos</w:t>
            </w:r>
          </w:p>
          <w:p w14:paraId="4255C283"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Las estrategias</w:t>
            </w:r>
          </w:p>
          <w:p w14:paraId="6F13E996"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Políticas</w:t>
            </w:r>
          </w:p>
          <w:p w14:paraId="69F52310"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Programas</w:t>
            </w:r>
          </w:p>
          <w:p w14:paraId="7C4F1B83"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Presupuestos</w:t>
            </w:r>
          </w:p>
          <w:p w14:paraId="01DF76B7"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Procedimientos</w:t>
            </w:r>
          </w:p>
        </w:tc>
        <w:tc>
          <w:tcPr>
            <w:tcW w:w="7803" w:type="dxa"/>
            <w:gridSpan w:val="7"/>
          </w:tcPr>
          <w:p w14:paraId="74DA035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1. ¿Qué es evaluar?</w:t>
            </w:r>
          </w:p>
          <w:p w14:paraId="6ABF685D"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2. ¿Para qué evaluar? </w:t>
            </w:r>
          </w:p>
          <w:p w14:paraId="4C13B271"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3. ¿Qué evaluar?</w:t>
            </w:r>
          </w:p>
          <w:p w14:paraId="2AB18027"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4. ¿Cuándo evaluar? </w:t>
            </w:r>
          </w:p>
          <w:p w14:paraId="768E2F9B"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5. ¿Quiénes evalúan? </w:t>
            </w:r>
          </w:p>
          <w:p w14:paraId="47C54C89" w14:textId="77777777" w:rsidR="000C7EB8" w:rsidRPr="00B27700" w:rsidRDefault="00E600FC" w:rsidP="00E600FC">
            <w:pPr>
              <w:rPr>
                <w:rFonts w:ascii="Century Gothic" w:hAnsi="Century Gothic" w:cs="Arial"/>
                <w:sz w:val="24"/>
                <w:szCs w:val="24"/>
              </w:rPr>
            </w:pPr>
            <w:r w:rsidRPr="00B27700">
              <w:rPr>
                <w:rFonts w:ascii="Century Gothic" w:hAnsi="Century Gothic" w:cs="Arial"/>
                <w:sz w:val="24"/>
                <w:szCs w:val="24"/>
              </w:rPr>
              <w:t>6. ¿Cómo evaluar?</w:t>
            </w:r>
          </w:p>
        </w:tc>
      </w:tr>
      <w:tr w:rsidR="00F823FE" w:rsidRPr="00B27700" w14:paraId="5618BF3C" w14:textId="77777777" w:rsidTr="00B27700">
        <w:trPr>
          <w:gridAfter w:val="1"/>
          <w:wAfter w:w="236" w:type="dxa"/>
          <w:trHeight w:val="571"/>
        </w:trPr>
        <w:tc>
          <w:tcPr>
            <w:tcW w:w="2455" w:type="dxa"/>
            <w:vMerge w:val="restart"/>
            <w:shd w:val="clear" w:color="auto" w:fill="C5E0B3" w:themeFill="accent6" w:themeFillTint="66"/>
          </w:tcPr>
          <w:p w14:paraId="24277EE5" w14:textId="77777777" w:rsidR="009E0A83" w:rsidRPr="00B27700" w:rsidRDefault="009E0A83" w:rsidP="009E0A83">
            <w:pPr>
              <w:rPr>
                <w:rFonts w:ascii="Century Gothic" w:hAnsi="Century Gothic" w:cs="Arial"/>
                <w:b/>
                <w:sz w:val="24"/>
                <w:szCs w:val="24"/>
              </w:rPr>
            </w:pPr>
            <w:r w:rsidRPr="00B27700">
              <w:rPr>
                <w:rFonts w:ascii="Century Gothic" w:hAnsi="Century Gothic" w:cs="Arial"/>
                <w:b/>
                <w:sz w:val="24"/>
                <w:szCs w:val="24"/>
              </w:rPr>
              <w:lastRenderedPageBreak/>
              <w:t xml:space="preserve">Enfoque pedagógico </w:t>
            </w:r>
          </w:p>
        </w:tc>
        <w:tc>
          <w:tcPr>
            <w:tcW w:w="1811" w:type="dxa"/>
            <w:shd w:val="clear" w:color="auto" w:fill="F4B083" w:themeFill="accent2" w:themeFillTint="99"/>
          </w:tcPr>
          <w:p w14:paraId="1A3BD875"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Enfoque formativo</w:t>
            </w:r>
          </w:p>
        </w:tc>
        <w:tc>
          <w:tcPr>
            <w:tcW w:w="1723" w:type="dxa"/>
            <w:gridSpan w:val="2"/>
            <w:shd w:val="clear" w:color="auto" w:fill="F4B083" w:themeFill="accent2" w:themeFillTint="99"/>
          </w:tcPr>
          <w:p w14:paraId="04EBBC00" w14:textId="77777777" w:rsidR="009E0A83" w:rsidRPr="00B27700" w:rsidRDefault="009E0A83" w:rsidP="009E0A83">
            <w:pPr>
              <w:rPr>
                <w:rFonts w:ascii="Century Gothic" w:hAnsi="Century Gothic" w:cs="Arial"/>
                <w:b/>
                <w:sz w:val="24"/>
                <w:szCs w:val="24"/>
              </w:rPr>
            </w:pPr>
            <w:r w:rsidRPr="00B27700">
              <w:rPr>
                <w:rFonts w:ascii="Century Gothic" w:hAnsi="Century Gothic" w:cs="Arial"/>
                <w:b/>
                <w:sz w:val="24"/>
                <w:szCs w:val="24"/>
              </w:rPr>
              <w:t xml:space="preserve">Enfoque por competencias </w:t>
            </w:r>
          </w:p>
        </w:tc>
        <w:tc>
          <w:tcPr>
            <w:tcW w:w="1275" w:type="dxa"/>
            <w:shd w:val="clear" w:color="auto" w:fill="F4B083" w:themeFill="accent2" w:themeFillTint="99"/>
          </w:tcPr>
          <w:p w14:paraId="62980804"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humanista </w:t>
            </w:r>
          </w:p>
        </w:tc>
        <w:tc>
          <w:tcPr>
            <w:tcW w:w="1525" w:type="dxa"/>
            <w:shd w:val="clear" w:color="auto" w:fill="F4B083" w:themeFill="accent2" w:themeFillTint="99"/>
          </w:tcPr>
          <w:p w14:paraId="7D786E3F"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socioemocional </w:t>
            </w:r>
          </w:p>
        </w:tc>
        <w:tc>
          <w:tcPr>
            <w:tcW w:w="2268" w:type="dxa"/>
            <w:gridSpan w:val="2"/>
            <w:shd w:val="clear" w:color="auto" w:fill="F4B083" w:themeFill="accent2" w:themeFillTint="99"/>
          </w:tcPr>
          <w:p w14:paraId="102A5D34"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sociocultural </w:t>
            </w:r>
          </w:p>
        </w:tc>
        <w:tc>
          <w:tcPr>
            <w:tcW w:w="2410" w:type="dxa"/>
            <w:gridSpan w:val="2"/>
            <w:shd w:val="clear" w:color="auto" w:fill="F4B083" w:themeFill="accent2" w:themeFillTint="99"/>
          </w:tcPr>
          <w:p w14:paraId="4446402C"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constructivista </w:t>
            </w:r>
          </w:p>
        </w:tc>
      </w:tr>
      <w:tr w:rsidR="00F823FE" w:rsidRPr="00B27700" w14:paraId="478E5622" w14:textId="77777777" w:rsidTr="00B27700">
        <w:trPr>
          <w:gridAfter w:val="1"/>
          <w:wAfter w:w="236" w:type="dxa"/>
          <w:trHeight w:val="825"/>
        </w:trPr>
        <w:tc>
          <w:tcPr>
            <w:tcW w:w="2455" w:type="dxa"/>
            <w:vMerge/>
            <w:shd w:val="clear" w:color="auto" w:fill="C5E0B3" w:themeFill="accent6" w:themeFillTint="66"/>
          </w:tcPr>
          <w:p w14:paraId="0E6D462E" w14:textId="77777777" w:rsidR="009E0A83" w:rsidRPr="00B27700" w:rsidRDefault="009E0A83" w:rsidP="009E0A83">
            <w:pPr>
              <w:rPr>
                <w:rFonts w:ascii="Century Gothic" w:hAnsi="Century Gothic" w:cs="Arial"/>
                <w:sz w:val="24"/>
                <w:szCs w:val="24"/>
              </w:rPr>
            </w:pPr>
          </w:p>
        </w:tc>
        <w:tc>
          <w:tcPr>
            <w:tcW w:w="1811" w:type="dxa"/>
          </w:tcPr>
          <w:p w14:paraId="1129FCF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Tiene como propósito contribuir a la mejora del aprendizaje, regula los procesos de enseñanza y de aprendizaje, principalmente para adaptar o ajustar las condiciones pedagógicas (estrategias, actividades, planificaciones).</w:t>
            </w:r>
          </w:p>
          <w:p w14:paraId="12DAA105"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La función pedagógica de la evaluación permite identificar las necesidades del grupo de alumnos con que trabaje cada docente, </w:t>
            </w:r>
            <w:r w:rsidRPr="00B27700">
              <w:rPr>
                <w:rFonts w:ascii="Century Gothic" w:hAnsi="Century Gothic" w:cs="Arial"/>
                <w:sz w:val="24"/>
                <w:szCs w:val="24"/>
              </w:rPr>
              <w:lastRenderedPageBreak/>
              <w:t>mediante la reflexión y mejora de la enseñanza y del aprendizaje.</w:t>
            </w:r>
          </w:p>
        </w:tc>
        <w:tc>
          <w:tcPr>
            <w:tcW w:w="1723" w:type="dxa"/>
            <w:gridSpan w:val="2"/>
          </w:tcPr>
          <w:p w14:paraId="685FF802"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Es una metodología educativa cuyo fundamento es el facilitar que los alumnos adquieran los contenidos de cada materia a través de situaciones prácticas y entornos experimentales. Se contrapone a los modelos clásicos de educación en los que se expone un temario de manera eminentemente teórica y los alumnos han de memorizar </w:t>
            </w:r>
            <w:r w:rsidRPr="00B27700">
              <w:rPr>
                <w:rFonts w:ascii="Century Gothic" w:hAnsi="Century Gothic" w:cs="Arial"/>
                <w:sz w:val="24"/>
                <w:szCs w:val="24"/>
              </w:rPr>
              <w:lastRenderedPageBreak/>
              <w:t>los datos para luego ser evaluados.</w:t>
            </w:r>
          </w:p>
        </w:tc>
        <w:tc>
          <w:tcPr>
            <w:tcW w:w="1275" w:type="dxa"/>
          </w:tcPr>
          <w:p w14:paraId="44BA519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Se centra en el desarrollo integral de los estudiantes, por lo que es determinante la calidad de los procesos de enseñanza y cómo se incorpora el desarrollo personal y social de los estudiantes con énfasis en el progreso </w:t>
            </w:r>
            <w:r w:rsidRPr="00B27700">
              <w:rPr>
                <w:rFonts w:ascii="Century Gothic" w:hAnsi="Century Gothic" w:cs="Arial"/>
                <w:sz w:val="24"/>
                <w:szCs w:val="24"/>
              </w:rPr>
              <w:lastRenderedPageBreak/>
              <w:t>de las habilidades socioemocionales.</w:t>
            </w:r>
          </w:p>
          <w:p w14:paraId="3AD93180"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El enfoque humanista de la educación prioriza el descubrimiento del potencial de cada individuo para impulsar la identidad personal del estudiante. El estudiante es guiado y empujado por sus propios intereses </w:t>
            </w:r>
            <w:r w:rsidRPr="00B27700">
              <w:rPr>
                <w:rFonts w:ascii="Century Gothic" w:hAnsi="Century Gothic" w:cs="Arial"/>
                <w:sz w:val="24"/>
                <w:szCs w:val="24"/>
              </w:rPr>
              <w:lastRenderedPageBreak/>
              <w:t>además de que la motivación para aprender se desarrolla de forma muy natural, fomentando un enfoque proactivo para la adquisición de conocimiento.</w:t>
            </w:r>
          </w:p>
        </w:tc>
        <w:tc>
          <w:tcPr>
            <w:tcW w:w="1525" w:type="dxa"/>
          </w:tcPr>
          <w:p w14:paraId="394CC9F3"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Es un proceso de aprendizaje a través del cual los niños y los adolescentes trabajan e integran en su vida los conceptos, valores, actitudes y habilidades que les permiten comprender y manejar sus emociones, construir una identidad personal, mostrar atención y cuidado hacia los </w:t>
            </w:r>
            <w:r w:rsidRPr="00B27700">
              <w:rPr>
                <w:rFonts w:ascii="Century Gothic" w:hAnsi="Century Gothic" w:cs="Arial"/>
                <w:sz w:val="24"/>
                <w:szCs w:val="24"/>
              </w:rPr>
              <w:lastRenderedPageBreak/>
              <w:t>demás, colaborar, establecer relaciones positivas, tomar decisiones responsables y aprender a manejar situaciones retadoras, de manera constructiva y ética.</w:t>
            </w:r>
          </w:p>
          <w:p w14:paraId="51EC4FEF"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La Educación Socioemocional contribuye a que los estudiantes alcancen sus metas; establezcan relaciones sanas entre ellos, con su familia y comunidad; y mejoren su </w:t>
            </w:r>
            <w:r w:rsidRPr="00B27700">
              <w:rPr>
                <w:rFonts w:ascii="Century Gothic" w:hAnsi="Century Gothic" w:cs="Arial"/>
                <w:sz w:val="24"/>
                <w:szCs w:val="24"/>
              </w:rPr>
              <w:lastRenderedPageBreak/>
              <w:t>rendimiento académico.</w:t>
            </w:r>
          </w:p>
        </w:tc>
        <w:tc>
          <w:tcPr>
            <w:tcW w:w="2268" w:type="dxa"/>
            <w:gridSpan w:val="2"/>
          </w:tcPr>
          <w:p w14:paraId="71C369CD"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Concibe el desarrollo personal como una construcción cultural, que se realiza a través de la interacción con otras personas de una determinada cultura mediante la realización de actividades sociales compartidas. Toda función intelectual debe explicarse a partir de su relación esencial con las condiciones históricas y culturales.</w:t>
            </w:r>
          </w:p>
          <w:p w14:paraId="70BEBF7A"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Este enfoque concibe la lectura y la escritura como una práctica social, un haber letrado que se realiza en eventos letrados, situados en </w:t>
            </w:r>
            <w:r w:rsidRPr="00B27700">
              <w:rPr>
                <w:rFonts w:ascii="Century Gothic" w:hAnsi="Century Gothic" w:cs="Arial"/>
                <w:sz w:val="24"/>
                <w:szCs w:val="24"/>
              </w:rPr>
              <w:lastRenderedPageBreak/>
              <w:t>comunidades letradas y dominios letrados. Se vincula con lo que la gente hace con los textos en actividades sociales concretas.</w:t>
            </w:r>
          </w:p>
        </w:tc>
        <w:tc>
          <w:tcPr>
            <w:tcW w:w="2410" w:type="dxa"/>
            <w:gridSpan w:val="2"/>
          </w:tcPr>
          <w:p w14:paraId="60C49BA3"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Se concibe como un proceso a través del cual se ayuda, apoya y dirige al estudiante en la construcción del conocimiento; se trata de ir de lo simple (conocimiento intuitivo) a lo complejo (conocimiento formal, científico). Por ello, la enseñanza desde este enfoque no centra su esfuerzo en los contenidos, sino en el estudiante, lo cual significa un cambio conceptual en la educación tradicional.</w:t>
            </w:r>
          </w:p>
          <w:p w14:paraId="7193A0D7"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Aplicar esta metodología en los salones de clases significa un cambio conceptual en comparación con la forma tradicional de </w:t>
            </w:r>
            <w:r w:rsidRPr="00B27700">
              <w:rPr>
                <w:rFonts w:ascii="Century Gothic" w:hAnsi="Century Gothic" w:cs="Arial"/>
                <w:sz w:val="24"/>
                <w:szCs w:val="24"/>
              </w:rPr>
              <w:lastRenderedPageBreak/>
              <w:t>enseñanza, ya que se deben unir las acciones de alumnos, profesores, contenido y contexto.</w:t>
            </w:r>
          </w:p>
        </w:tc>
      </w:tr>
    </w:tbl>
    <w:p w14:paraId="3A8B4446" w14:textId="77777777" w:rsidR="000C7EB8" w:rsidRDefault="000C7EB8" w:rsidP="000C7EB8">
      <w:pPr>
        <w:jc w:val="center"/>
      </w:pPr>
    </w:p>
    <w:p w14:paraId="0BC6F6D1" w14:textId="77777777" w:rsidR="00F823FE" w:rsidRDefault="00F823FE" w:rsidP="000C7EB8">
      <w:pPr>
        <w:jc w:val="center"/>
      </w:pPr>
    </w:p>
    <w:p w14:paraId="6AF76B0B" w14:textId="77777777" w:rsidR="00F823FE" w:rsidRDefault="00F823FE" w:rsidP="000C7EB8">
      <w:pPr>
        <w:jc w:val="center"/>
      </w:pPr>
    </w:p>
    <w:p w14:paraId="30D26AE6" w14:textId="77777777" w:rsidR="00F823FE" w:rsidRDefault="00F823FE" w:rsidP="00B27700"/>
    <w:p w14:paraId="135BD498" w14:textId="77777777" w:rsidR="00F823FE" w:rsidRDefault="00F823FE" w:rsidP="000C7EB8">
      <w:pPr>
        <w:jc w:val="center"/>
      </w:pPr>
    </w:p>
    <w:p w14:paraId="44F7994B" w14:textId="77777777" w:rsidR="00F823FE" w:rsidRPr="00F823FE" w:rsidRDefault="00F823FE" w:rsidP="00F823FE">
      <w:pPr>
        <w:spacing w:after="0" w:line="240" w:lineRule="auto"/>
        <w:rPr>
          <w:rFonts w:ascii="Arial" w:eastAsia="Times New Roman" w:hAnsi="Arial" w:cs="Arial"/>
          <w:sz w:val="24"/>
          <w:szCs w:val="24"/>
          <w:shd w:val="clear" w:color="auto" w:fill="FFFFFF"/>
          <w:lang w:eastAsia="es-MX"/>
        </w:rPr>
      </w:pPr>
      <w:r w:rsidRPr="00F823FE">
        <w:rPr>
          <w:rFonts w:ascii="Arial" w:eastAsia="Times New Roman" w:hAnsi="Arial" w:cs="Arial"/>
          <w:sz w:val="24"/>
          <w:szCs w:val="24"/>
          <w:shd w:val="clear" w:color="auto" w:fill="FFFFFF"/>
          <w:lang w:eastAsia="es-MX"/>
        </w:rPr>
        <w:t>Bibliografías:</w:t>
      </w:r>
    </w:p>
    <w:p w14:paraId="69C0B66C" w14:textId="77777777" w:rsidR="00F823FE" w:rsidRPr="00F823FE" w:rsidRDefault="00F823FE" w:rsidP="00F823FE">
      <w:pPr>
        <w:spacing w:after="0" w:line="240" w:lineRule="auto"/>
        <w:rPr>
          <w:rFonts w:ascii="Arial" w:eastAsia="Times New Roman" w:hAnsi="Arial" w:cs="Arial"/>
          <w:sz w:val="24"/>
          <w:szCs w:val="24"/>
          <w:shd w:val="clear" w:color="auto" w:fill="FFFFFF"/>
          <w:lang w:eastAsia="es-MX"/>
        </w:rPr>
      </w:pPr>
    </w:p>
    <w:p w14:paraId="212347D2" w14:textId="77777777" w:rsidR="00F823FE" w:rsidRPr="00E600FC" w:rsidRDefault="002E6AFE" w:rsidP="00F823FE">
      <w:pPr>
        <w:spacing w:after="0" w:line="240" w:lineRule="auto"/>
        <w:rPr>
          <w:rFonts w:ascii="Century Gothic" w:eastAsia="Times New Roman" w:hAnsi="Century Gothic" w:cs="Arial"/>
          <w:color w:val="000000"/>
          <w:sz w:val="24"/>
          <w:szCs w:val="24"/>
          <w:lang w:eastAsia="es-MX"/>
        </w:rPr>
      </w:pPr>
      <w:hyperlink r:id="rId6" w:history="1">
        <w:r w:rsidR="00F823FE" w:rsidRPr="00E600FC">
          <w:rPr>
            <w:rFonts w:ascii="Century Gothic" w:eastAsia="Times New Roman" w:hAnsi="Century Gothic" w:cs="Arial"/>
            <w:color w:val="0563C1"/>
            <w:sz w:val="24"/>
            <w:szCs w:val="24"/>
            <w:u w:val="single"/>
            <w:lang w:eastAsia="es-MX"/>
          </w:rPr>
          <w:t>https://cegepperu.edu.pe/2020/12/29/8-caracteristicas-distintivas-de-la-evaluacion-formativa/</w:t>
        </w:r>
      </w:hyperlink>
    </w:p>
    <w:p w14:paraId="6186FD0F" w14:textId="77777777" w:rsidR="00F823FE" w:rsidRPr="00E600FC" w:rsidRDefault="00F823FE" w:rsidP="00F823FE">
      <w:pPr>
        <w:spacing w:after="0" w:line="240" w:lineRule="auto"/>
        <w:rPr>
          <w:rFonts w:ascii="Century Gothic" w:eastAsia="Times New Roman" w:hAnsi="Century Gothic" w:cs="Arial"/>
          <w:color w:val="000000"/>
          <w:sz w:val="24"/>
          <w:szCs w:val="24"/>
          <w:lang w:eastAsia="es-MX"/>
        </w:rPr>
      </w:pPr>
    </w:p>
    <w:p w14:paraId="12A70404" w14:textId="77777777" w:rsidR="00F823FE" w:rsidRPr="00E600FC" w:rsidRDefault="002E6AFE" w:rsidP="00F823FE">
      <w:pPr>
        <w:rPr>
          <w:rFonts w:ascii="Century Gothic" w:eastAsia="Calibri" w:hAnsi="Century Gothic" w:cs="Arial"/>
          <w:sz w:val="24"/>
          <w:szCs w:val="24"/>
        </w:rPr>
      </w:pPr>
      <w:hyperlink r:id="rId7" w:anchor=":~:text=La%20evaluaci%C3%B3n%20sumativa%20es%20un,elaborar%20m%C3%A9todos%20de%20evaluaci%C3%B3n%20fiables" w:history="1">
        <w:r w:rsidR="00F823FE" w:rsidRPr="00E600FC">
          <w:rPr>
            <w:rFonts w:ascii="Century Gothic" w:eastAsia="Calibri" w:hAnsi="Century Gothic" w:cs="Arial"/>
            <w:color w:val="0563C1"/>
            <w:sz w:val="24"/>
            <w:szCs w:val="24"/>
            <w:u w:val="single"/>
          </w:rPr>
          <w:t>https://www.lifeder.com/evaluacion-sumativa/#:~:text=La%20evaluaci%C3%B3n%20sumativa%20es%20un,elaborar%20m%C3%A9todos%20de%20evaluaci%C3%B3n%20fiables</w:t>
        </w:r>
      </w:hyperlink>
      <w:r w:rsidR="00F823FE" w:rsidRPr="00E600FC">
        <w:rPr>
          <w:rFonts w:ascii="Century Gothic" w:eastAsia="Calibri" w:hAnsi="Century Gothic" w:cs="Arial"/>
          <w:sz w:val="24"/>
          <w:szCs w:val="24"/>
        </w:rPr>
        <w:t>.</w:t>
      </w:r>
    </w:p>
    <w:p w14:paraId="2C51BF95" w14:textId="77777777" w:rsidR="00F823FE" w:rsidRPr="00E600FC" w:rsidRDefault="002E6AFE" w:rsidP="00F823FE">
      <w:pPr>
        <w:rPr>
          <w:rFonts w:ascii="Century Gothic" w:eastAsia="Calibri" w:hAnsi="Century Gothic" w:cs="Arial"/>
          <w:sz w:val="24"/>
          <w:szCs w:val="24"/>
        </w:rPr>
      </w:pPr>
      <w:hyperlink r:id="rId8" w:history="1">
        <w:r w:rsidR="00F823FE" w:rsidRPr="00E600FC">
          <w:rPr>
            <w:rFonts w:ascii="Century Gothic" w:eastAsia="Calibri" w:hAnsi="Century Gothic" w:cs="Arial"/>
            <w:color w:val="0563C1"/>
            <w:sz w:val="24"/>
            <w:szCs w:val="24"/>
            <w:u w:val="single"/>
          </w:rPr>
          <w:t>https://www.lifeder.com/autoevaluacion/</w:t>
        </w:r>
      </w:hyperlink>
    </w:p>
    <w:p w14:paraId="572F7E76" w14:textId="77777777" w:rsidR="00F823FE" w:rsidRPr="00E600FC" w:rsidRDefault="002E6AFE" w:rsidP="00F823FE">
      <w:pPr>
        <w:rPr>
          <w:rFonts w:ascii="Century Gothic" w:eastAsia="Calibri" w:hAnsi="Century Gothic" w:cs="Arial"/>
          <w:sz w:val="24"/>
          <w:szCs w:val="24"/>
        </w:rPr>
      </w:pPr>
      <w:hyperlink r:id="rId9" w:history="1">
        <w:r w:rsidR="00F823FE" w:rsidRPr="00E600FC">
          <w:rPr>
            <w:rFonts w:ascii="Century Gothic" w:eastAsia="Calibri" w:hAnsi="Century Gothic" w:cs="Arial"/>
            <w:color w:val="0563C1"/>
            <w:sz w:val="24"/>
            <w:szCs w:val="24"/>
            <w:u w:val="single"/>
          </w:rPr>
          <w:t>https://psicologiaymente.com/desarrollo/coevaluacion</w:t>
        </w:r>
      </w:hyperlink>
    </w:p>
    <w:p w14:paraId="54134BB5" w14:textId="77777777" w:rsidR="00E600FC" w:rsidRPr="00E600FC" w:rsidRDefault="002E6AFE" w:rsidP="00E600FC">
      <w:pPr>
        <w:rPr>
          <w:rFonts w:ascii="Century Gothic" w:eastAsia="Calibri" w:hAnsi="Century Gothic" w:cs="Arial"/>
          <w:sz w:val="24"/>
          <w:szCs w:val="24"/>
        </w:rPr>
      </w:pPr>
      <w:hyperlink r:id="rId10" w:history="1">
        <w:r w:rsidR="00F823FE" w:rsidRPr="00E600FC">
          <w:rPr>
            <w:rFonts w:ascii="Century Gothic" w:eastAsia="Calibri" w:hAnsi="Century Gothic" w:cs="Arial"/>
            <w:color w:val="0563C1"/>
            <w:sz w:val="24"/>
            <w:szCs w:val="24"/>
            <w:u w:val="single"/>
          </w:rPr>
          <w:t>http://formacionpedagogicatiposdeevaluacion.blogspot.com/2014/06/heteroevaluacion.html</w:t>
        </w:r>
      </w:hyperlink>
    </w:p>
    <w:p w14:paraId="034C4C9A" w14:textId="77777777" w:rsidR="00E600FC" w:rsidRPr="00E600FC" w:rsidRDefault="002E6AFE" w:rsidP="00E600FC">
      <w:pPr>
        <w:rPr>
          <w:rFonts w:ascii="Century Gothic" w:hAnsi="Century Gothic"/>
          <w:sz w:val="24"/>
        </w:rPr>
      </w:pPr>
      <w:hyperlink r:id="rId11" w:anchor=":~:text=La%20evaluaci%C3%B3n%20sumativa%20es%20un,elaborar%20m%C3%A9todos%20de%20evaluaci%C3%B3n%20fiables" w:history="1">
        <w:r w:rsidR="00E600FC" w:rsidRPr="00E600FC">
          <w:rPr>
            <w:rStyle w:val="Hipervnculo"/>
            <w:rFonts w:ascii="Century Gothic" w:hAnsi="Century Gothic"/>
            <w:sz w:val="24"/>
          </w:rPr>
          <w:t>https://www.lifeder.com/evaluacion-sumativa/#:~:text=La%20evaluaci%C3%B3n%20sumativa%20es%20un,elaborar%20m%C3%A9todos%20de%20evaluaci%C3%B3n%20fiables</w:t>
        </w:r>
      </w:hyperlink>
      <w:r w:rsidR="00E600FC" w:rsidRPr="00E600FC">
        <w:rPr>
          <w:rFonts w:ascii="Century Gothic" w:hAnsi="Century Gothic"/>
          <w:sz w:val="24"/>
        </w:rPr>
        <w:t>.</w:t>
      </w:r>
    </w:p>
    <w:p w14:paraId="21236E5D" w14:textId="77777777" w:rsidR="00E600FC" w:rsidRPr="00E600FC" w:rsidRDefault="002E6AFE" w:rsidP="00E600FC">
      <w:pPr>
        <w:rPr>
          <w:rFonts w:ascii="Century Gothic" w:hAnsi="Century Gothic"/>
          <w:sz w:val="24"/>
        </w:rPr>
      </w:pPr>
      <w:hyperlink r:id="rId12" w:history="1">
        <w:r w:rsidR="00E600FC" w:rsidRPr="00E600FC">
          <w:rPr>
            <w:rStyle w:val="Hipervnculo"/>
            <w:rFonts w:ascii="Century Gothic" w:hAnsi="Century Gothic"/>
            <w:sz w:val="24"/>
          </w:rPr>
          <w:t>https://www.lifeder.com/autoevaluacion/</w:t>
        </w:r>
      </w:hyperlink>
    </w:p>
    <w:p w14:paraId="674DA506" w14:textId="77777777" w:rsidR="00E600FC" w:rsidRPr="00E600FC" w:rsidRDefault="002E6AFE" w:rsidP="00E600FC">
      <w:pPr>
        <w:rPr>
          <w:rFonts w:ascii="Century Gothic" w:hAnsi="Century Gothic"/>
          <w:sz w:val="24"/>
        </w:rPr>
      </w:pPr>
      <w:hyperlink r:id="rId13" w:history="1">
        <w:r w:rsidR="00E600FC" w:rsidRPr="00E600FC">
          <w:rPr>
            <w:rStyle w:val="Hipervnculo"/>
            <w:rFonts w:ascii="Century Gothic" w:hAnsi="Century Gothic"/>
            <w:sz w:val="24"/>
          </w:rPr>
          <w:t>https://psicologiaymente.com/desarrollo/coevaluacion</w:t>
        </w:r>
      </w:hyperlink>
    </w:p>
    <w:p w14:paraId="28C0D3B6" w14:textId="77777777" w:rsidR="00E600FC" w:rsidRPr="00E600FC" w:rsidRDefault="002E6AFE" w:rsidP="00E600FC">
      <w:pPr>
        <w:rPr>
          <w:rFonts w:ascii="Century Gothic" w:hAnsi="Century Gothic"/>
          <w:sz w:val="24"/>
        </w:rPr>
      </w:pPr>
      <w:hyperlink r:id="rId14" w:history="1">
        <w:r w:rsidR="00E600FC" w:rsidRPr="00E600FC">
          <w:rPr>
            <w:rStyle w:val="Hipervnculo"/>
            <w:rFonts w:ascii="Century Gothic" w:hAnsi="Century Gothic"/>
            <w:sz w:val="24"/>
          </w:rPr>
          <w:t>http://formacionpedagogicatiposdeevaluacion.blogspot.com/2014/06/heteroevaluacion.html</w:t>
        </w:r>
      </w:hyperlink>
    </w:p>
    <w:p w14:paraId="0886C29D" w14:textId="77777777" w:rsidR="00E600FC" w:rsidRPr="00E600FC" w:rsidRDefault="002E6AFE" w:rsidP="00E600FC">
      <w:pPr>
        <w:rPr>
          <w:rFonts w:ascii="Century Gothic" w:hAnsi="Century Gothic"/>
          <w:sz w:val="24"/>
        </w:rPr>
      </w:pPr>
      <w:hyperlink r:id="rId15" w:history="1">
        <w:r w:rsidR="00E600FC" w:rsidRPr="00E600FC">
          <w:rPr>
            <w:rStyle w:val="Hipervnculo"/>
            <w:rFonts w:ascii="Century Gothic" w:hAnsi="Century Gothic"/>
            <w:sz w:val="24"/>
          </w:rPr>
          <w:t>https://es.slideshare.net/toyofemi/aspectos-de-la-evaluacin</w:t>
        </w:r>
      </w:hyperlink>
    </w:p>
    <w:p w14:paraId="34E4BE2D" w14:textId="77777777" w:rsidR="00E600FC" w:rsidRPr="00E600FC" w:rsidRDefault="002E6AFE" w:rsidP="00E600FC">
      <w:pPr>
        <w:rPr>
          <w:rFonts w:ascii="Century Gothic" w:hAnsi="Century Gothic"/>
          <w:sz w:val="24"/>
        </w:rPr>
      </w:pPr>
      <w:hyperlink r:id="rId16" w:history="1">
        <w:r w:rsidR="00E600FC" w:rsidRPr="00E600FC">
          <w:rPr>
            <w:rStyle w:val="Hipervnculo"/>
            <w:rFonts w:ascii="Century Gothic" w:hAnsi="Century Gothic"/>
            <w:sz w:val="24"/>
          </w:rPr>
          <w:t>https://cnbguatemala.org/wiki/Elementos_de_Evaluaci%C3%B3n</w:t>
        </w:r>
      </w:hyperlink>
    </w:p>
    <w:p w14:paraId="4660A694" w14:textId="77777777" w:rsidR="00E600FC" w:rsidRPr="00E600FC" w:rsidRDefault="002E6AFE" w:rsidP="00E600FC">
      <w:pPr>
        <w:rPr>
          <w:rFonts w:ascii="Century Gothic" w:hAnsi="Century Gothic"/>
          <w:sz w:val="24"/>
        </w:rPr>
      </w:pPr>
      <w:hyperlink r:id="rId17" w:history="1">
        <w:r w:rsidR="00E600FC" w:rsidRPr="00E600FC">
          <w:rPr>
            <w:rStyle w:val="Hipervnculo"/>
            <w:rFonts w:ascii="Century Gothic" w:hAnsi="Century Gothic"/>
            <w:sz w:val="24"/>
          </w:rPr>
          <w:t>https://sites.google.com/site/admgnrlntg/home/elementos-de-la-planeacion</w:t>
        </w:r>
      </w:hyperlink>
    </w:p>
    <w:p w14:paraId="04E35AA1" w14:textId="77777777" w:rsidR="00F823FE" w:rsidRDefault="00F823FE" w:rsidP="00F823FE"/>
    <w:sectPr w:rsidR="00F823FE" w:rsidSect="000C7EB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8E4"/>
    <w:multiLevelType w:val="hybridMultilevel"/>
    <w:tmpl w:val="13B4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117BC4"/>
    <w:multiLevelType w:val="hybridMultilevel"/>
    <w:tmpl w:val="A40C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A149D9"/>
    <w:multiLevelType w:val="hybridMultilevel"/>
    <w:tmpl w:val="51FA4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7A59F9"/>
    <w:multiLevelType w:val="hybridMultilevel"/>
    <w:tmpl w:val="E40C2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600253"/>
    <w:multiLevelType w:val="hybridMultilevel"/>
    <w:tmpl w:val="83526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B8"/>
    <w:rsid w:val="00096FE6"/>
    <w:rsid w:val="000C7EB8"/>
    <w:rsid w:val="001C1F2B"/>
    <w:rsid w:val="002E6AFE"/>
    <w:rsid w:val="00821519"/>
    <w:rsid w:val="009E0A83"/>
    <w:rsid w:val="00AB4CD7"/>
    <w:rsid w:val="00B27700"/>
    <w:rsid w:val="00CA0C32"/>
    <w:rsid w:val="00E600FC"/>
    <w:rsid w:val="00E6274B"/>
    <w:rsid w:val="00F823FE"/>
    <w:rsid w:val="00FF7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CF6"/>
  <w15:chartTrackingRefBased/>
  <w15:docId w15:val="{AFCEF63B-4BE8-47DD-AF25-1045A01F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A83"/>
    <w:pPr>
      <w:ind w:left="720"/>
      <w:contextualSpacing/>
    </w:pPr>
  </w:style>
  <w:style w:type="character" w:styleId="Hipervnculo">
    <w:name w:val="Hyperlink"/>
    <w:basedOn w:val="Fuentedeprrafopredeter"/>
    <w:uiPriority w:val="99"/>
    <w:unhideWhenUsed/>
    <w:rsid w:val="00E60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1075">
      <w:bodyDiv w:val="1"/>
      <w:marLeft w:val="0"/>
      <w:marRight w:val="0"/>
      <w:marTop w:val="0"/>
      <w:marBottom w:val="0"/>
      <w:divBdr>
        <w:top w:val="none" w:sz="0" w:space="0" w:color="auto"/>
        <w:left w:val="none" w:sz="0" w:space="0" w:color="auto"/>
        <w:bottom w:val="none" w:sz="0" w:space="0" w:color="auto"/>
        <w:right w:val="none" w:sz="0" w:space="0" w:color="auto"/>
      </w:divBdr>
      <w:divsChild>
        <w:div w:id="1666662011">
          <w:marLeft w:val="0"/>
          <w:marRight w:val="0"/>
          <w:marTop w:val="15"/>
          <w:marBottom w:val="15"/>
          <w:divBdr>
            <w:top w:val="none" w:sz="0" w:space="0" w:color="auto"/>
            <w:left w:val="none" w:sz="0" w:space="0" w:color="auto"/>
            <w:bottom w:val="none" w:sz="0" w:space="0" w:color="auto"/>
            <w:right w:val="none" w:sz="0" w:space="0" w:color="auto"/>
          </w:divBdr>
          <w:divsChild>
            <w:div w:id="759836538">
              <w:marLeft w:val="0"/>
              <w:marRight w:val="0"/>
              <w:marTop w:val="0"/>
              <w:marBottom w:val="0"/>
              <w:divBdr>
                <w:top w:val="none" w:sz="0" w:space="0" w:color="auto"/>
                <w:left w:val="none" w:sz="0" w:space="0" w:color="auto"/>
                <w:bottom w:val="none" w:sz="0" w:space="0" w:color="auto"/>
                <w:right w:val="none" w:sz="0" w:space="0" w:color="auto"/>
              </w:divBdr>
            </w:div>
          </w:divsChild>
        </w:div>
        <w:div w:id="573975817">
          <w:marLeft w:val="0"/>
          <w:marRight w:val="0"/>
          <w:marTop w:val="15"/>
          <w:marBottom w:val="15"/>
          <w:divBdr>
            <w:top w:val="none" w:sz="0" w:space="0" w:color="auto"/>
            <w:left w:val="none" w:sz="0" w:space="0" w:color="auto"/>
            <w:bottom w:val="none" w:sz="0" w:space="0" w:color="auto"/>
            <w:right w:val="none" w:sz="0" w:space="0" w:color="auto"/>
          </w:divBdr>
          <w:divsChild>
            <w:div w:id="486168209">
              <w:marLeft w:val="0"/>
              <w:marRight w:val="0"/>
              <w:marTop w:val="0"/>
              <w:marBottom w:val="0"/>
              <w:divBdr>
                <w:top w:val="none" w:sz="0" w:space="0" w:color="auto"/>
                <w:left w:val="none" w:sz="0" w:space="0" w:color="auto"/>
                <w:bottom w:val="none" w:sz="0" w:space="0" w:color="auto"/>
                <w:right w:val="none" w:sz="0" w:space="0" w:color="auto"/>
              </w:divBdr>
            </w:div>
          </w:divsChild>
        </w:div>
        <w:div w:id="1131167446">
          <w:marLeft w:val="0"/>
          <w:marRight w:val="0"/>
          <w:marTop w:val="15"/>
          <w:marBottom w:val="15"/>
          <w:divBdr>
            <w:top w:val="none" w:sz="0" w:space="0" w:color="auto"/>
            <w:left w:val="none" w:sz="0" w:space="0" w:color="auto"/>
            <w:bottom w:val="none" w:sz="0" w:space="0" w:color="auto"/>
            <w:right w:val="none" w:sz="0" w:space="0" w:color="auto"/>
          </w:divBdr>
          <w:divsChild>
            <w:div w:id="1243107502">
              <w:marLeft w:val="0"/>
              <w:marRight w:val="0"/>
              <w:marTop w:val="0"/>
              <w:marBottom w:val="0"/>
              <w:divBdr>
                <w:top w:val="none" w:sz="0" w:space="0" w:color="auto"/>
                <w:left w:val="none" w:sz="0" w:space="0" w:color="auto"/>
                <w:bottom w:val="none" w:sz="0" w:space="0" w:color="auto"/>
                <w:right w:val="none" w:sz="0" w:space="0" w:color="auto"/>
              </w:divBdr>
            </w:div>
          </w:divsChild>
        </w:div>
        <w:div w:id="1896046154">
          <w:marLeft w:val="0"/>
          <w:marRight w:val="0"/>
          <w:marTop w:val="15"/>
          <w:marBottom w:val="15"/>
          <w:divBdr>
            <w:top w:val="none" w:sz="0" w:space="0" w:color="auto"/>
            <w:left w:val="none" w:sz="0" w:space="0" w:color="auto"/>
            <w:bottom w:val="none" w:sz="0" w:space="0" w:color="auto"/>
            <w:right w:val="none" w:sz="0" w:space="0" w:color="auto"/>
          </w:divBdr>
          <w:divsChild>
            <w:div w:id="526220326">
              <w:marLeft w:val="0"/>
              <w:marRight w:val="0"/>
              <w:marTop w:val="0"/>
              <w:marBottom w:val="0"/>
              <w:divBdr>
                <w:top w:val="none" w:sz="0" w:space="0" w:color="auto"/>
                <w:left w:val="none" w:sz="0" w:space="0" w:color="auto"/>
                <w:bottom w:val="none" w:sz="0" w:space="0" w:color="auto"/>
                <w:right w:val="none" w:sz="0" w:space="0" w:color="auto"/>
              </w:divBdr>
            </w:div>
          </w:divsChild>
        </w:div>
        <w:div w:id="1666395408">
          <w:marLeft w:val="0"/>
          <w:marRight w:val="0"/>
          <w:marTop w:val="15"/>
          <w:marBottom w:val="15"/>
          <w:divBdr>
            <w:top w:val="none" w:sz="0" w:space="0" w:color="auto"/>
            <w:left w:val="none" w:sz="0" w:space="0" w:color="auto"/>
            <w:bottom w:val="none" w:sz="0" w:space="0" w:color="auto"/>
            <w:right w:val="none" w:sz="0" w:space="0" w:color="auto"/>
          </w:divBdr>
          <w:divsChild>
            <w:div w:id="13381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autoevaluacion/" TargetMode="External" /><Relationship Id="rId13" Type="http://schemas.openxmlformats.org/officeDocument/2006/relationships/hyperlink" Target="https://psicologiaymente.com/desarrollo/coevaluacion"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lifeder.com/evaluacion-sumativa/" TargetMode="External" /><Relationship Id="rId12" Type="http://schemas.openxmlformats.org/officeDocument/2006/relationships/hyperlink" Target="https://www.lifeder.com/autoevaluacion/" TargetMode="External" /><Relationship Id="rId17" Type="http://schemas.openxmlformats.org/officeDocument/2006/relationships/hyperlink" Target="https://sites.google.com/site/admgnrlntg/home/elementos-de-la-planeacion" TargetMode="External" /><Relationship Id="rId2" Type="http://schemas.openxmlformats.org/officeDocument/2006/relationships/styles" Target="styles.xml" /><Relationship Id="rId16" Type="http://schemas.openxmlformats.org/officeDocument/2006/relationships/hyperlink" Target="https://cnbguatemala.org/wiki/Elementos_de_Evaluaci%C3%B3n" TargetMode="External" /><Relationship Id="rId1" Type="http://schemas.openxmlformats.org/officeDocument/2006/relationships/numbering" Target="numbering.xml" /><Relationship Id="rId6" Type="http://schemas.openxmlformats.org/officeDocument/2006/relationships/hyperlink" Target="https://cegepperu.edu.pe/2020/12/29/8-caracteristicas-distintivas-de-la-evaluacion-formativa/" TargetMode="External" /><Relationship Id="rId11" Type="http://schemas.openxmlformats.org/officeDocument/2006/relationships/hyperlink" Target="https://www.lifeder.com/evaluacion-sumativa/" TargetMode="External" /><Relationship Id="rId5" Type="http://schemas.openxmlformats.org/officeDocument/2006/relationships/image" Target="media/image1.gif" /><Relationship Id="rId15" Type="http://schemas.openxmlformats.org/officeDocument/2006/relationships/hyperlink" Target="https://es.slideshare.net/toyofemi/aspectos-de-la-evaluacin" TargetMode="External" /><Relationship Id="rId10" Type="http://schemas.openxmlformats.org/officeDocument/2006/relationships/hyperlink" Target="http://formacionpedagogicatiposdeevaluacion.blogspot.com/2014/06/heteroevaluacion.html"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psicologiaymente.com/desarrollo/coevaluacion" TargetMode="External" /><Relationship Id="rId14" Type="http://schemas.openxmlformats.org/officeDocument/2006/relationships/hyperlink" Target="http://formacionpedagogicatiposdeevaluacion.blogspot.com/2014/06/heteroevaluacion.htm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 HERNANDEZ</cp:lastModifiedBy>
  <cp:revision>2</cp:revision>
  <dcterms:created xsi:type="dcterms:W3CDTF">2021-05-21T15:45:00Z</dcterms:created>
  <dcterms:modified xsi:type="dcterms:W3CDTF">2021-05-21T15:45:00Z</dcterms:modified>
</cp:coreProperties>
</file>