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6BC3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555BBA">
        <w:rPr>
          <w:rStyle w:val="Ninguno"/>
          <w:rFonts w:ascii="Times New Roman" w:hAnsi="Times New Roman" w:cs="Times New Roman"/>
          <w:noProof/>
          <w:lang w:val="es-MX" w:eastAsia="zh-TW"/>
        </w:rPr>
        <w:drawing>
          <wp:anchor distT="0" distB="0" distL="0" distR="0" simplePos="0" relativeHeight="251658240" behindDoc="1" locked="0" layoutInCell="1" allowOverlap="1" wp14:anchorId="03048FC4" wp14:editId="137A3F1B">
            <wp:simplePos x="0" y="0"/>
            <wp:positionH relativeFrom="column">
              <wp:posOffset>890905</wp:posOffset>
            </wp:positionH>
            <wp:positionV relativeFrom="line">
              <wp:posOffset>-88900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55BBA">
        <w:rPr>
          <w:rStyle w:val="Ninguno"/>
          <w:rFonts w:ascii="Times New Roman" w:hAnsi="Times New Roman" w:cs="Times New Roman"/>
          <w:b/>
          <w:bCs/>
        </w:rPr>
        <w:t xml:space="preserve">              </w:t>
      </w: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ESCUELA NORMAL DE EDUCACION PREESCOLAR</w:t>
      </w:r>
    </w:p>
    <w:p w14:paraId="279AFD5F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7FF6DDB4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Curso: Forma Espacio y Medida</w:t>
      </w:r>
    </w:p>
    <w:p w14:paraId="112AEF8C" w14:textId="77777777" w:rsidR="00E27E86" w:rsidRDefault="00555BBA" w:rsidP="00E27E86">
      <w:pPr>
        <w:pStyle w:val="Ttulo3"/>
        <w:spacing w:before="30" w:beforeAutospacing="0" w:after="30" w:afterAutospacing="0" w:line="360" w:lineRule="auto"/>
        <w:ind w:left="60"/>
        <w:jc w:val="center"/>
        <w:rPr>
          <w:b w:val="0"/>
          <w:color w:val="000000"/>
          <w:sz w:val="24"/>
          <w:szCs w:val="24"/>
        </w:rPr>
      </w:pPr>
      <w:r w:rsidRPr="00E27E86">
        <w:rPr>
          <w:rStyle w:val="Ninguno"/>
          <w:sz w:val="24"/>
          <w:szCs w:val="24"/>
        </w:rPr>
        <w:t>Maestra</w:t>
      </w:r>
      <w:r w:rsidRPr="00E27E86">
        <w:rPr>
          <w:rStyle w:val="Ninguno"/>
          <w:b w:val="0"/>
          <w:bCs w:val="0"/>
          <w:sz w:val="24"/>
          <w:szCs w:val="24"/>
        </w:rPr>
        <w:t xml:space="preserve">: </w:t>
      </w:r>
      <w:hyperlink r:id="rId6" w:history="1">
        <w:r w:rsidRPr="00E27E86">
          <w:rPr>
            <w:rStyle w:val="Hipervnculo"/>
            <w:color w:val="000000"/>
            <w:sz w:val="24"/>
            <w:szCs w:val="24"/>
          </w:rPr>
          <w:t>Cristina Isela Valenzuela Escalera</w:t>
        </w:r>
      </w:hyperlink>
    </w:p>
    <w:p w14:paraId="05EEC3B5" w14:textId="10330A9D" w:rsidR="00555BBA" w:rsidRPr="00E27E86" w:rsidRDefault="00555BBA" w:rsidP="00E27E86">
      <w:pPr>
        <w:pStyle w:val="Ttulo3"/>
        <w:spacing w:before="30" w:beforeAutospacing="0" w:after="30" w:afterAutospacing="0" w:line="360" w:lineRule="auto"/>
        <w:ind w:left="60"/>
        <w:jc w:val="center"/>
        <w:rPr>
          <w:rStyle w:val="Ninguno"/>
          <w:b w:val="0"/>
          <w:color w:val="000000"/>
          <w:sz w:val="24"/>
          <w:szCs w:val="24"/>
        </w:rPr>
      </w:pPr>
      <w:r w:rsidRPr="00E27E86">
        <w:rPr>
          <w:rStyle w:val="Ninguno"/>
          <w:sz w:val="24"/>
          <w:szCs w:val="24"/>
        </w:rPr>
        <w:t>Alumna:</w:t>
      </w:r>
      <w:r w:rsidRPr="00E27E86">
        <w:rPr>
          <w:b w:val="0"/>
          <w:color w:val="000000"/>
          <w:sz w:val="24"/>
          <w:szCs w:val="24"/>
        </w:rPr>
        <w:t xml:space="preserve"> Rocío Lucio Belmares</w:t>
      </w:r>
    </w:p>
    <w:p w14:paraId="5024AA63" w14:textId="53D3A535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sz w:val="24"/>
          <w:szCs w:val="24"/>
        </w:rPr>
      </w:pPr>
      <w:r w:rsidRPr="00E27E86">
        <w:rPr>
          <w:rStyle w:val="Ninguno"/>
          <w:rFonts w:ascii="Times New Roman" w:eastAsia="Arial" w:hAnsi="Times New Roman" w:cs="Times New Roman"/>
          <w:b/>
          <w:sz w:val="24"/>
          <w:szCs w:val="24"/>
        </w:rPr>
        <w:t>Segundo semestre Sección: ¨B¨</w:t>
      </w:r>
    </w:p>
    <w:p w14:paraId="29A96A8A" w14:textId="0F068B92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Unidad de aprendizaje I</w:t>
      </w: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II</w:t>
      </w: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Las magnitudes y medidas, su enseñanza y aprendizaje en el plan de estudios de educación preescolar</w:t>
      </w:r>
    </w:p>
    <w:p w14:paraId="6368EA0D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Tema: </w:t>
      </w:r>
      <w:r w:rsidRPr="00E27E86">
        <w:rPr>
          <w:rStyle w:val="Ninguno"/>
          <w:rFonts w:ascii="Times New Roman" w:hAnsi="Times New Roman" w:cs="Times New Roman"/>
          <w:bCs/>
          <w:sz w:val="24"/>
          <w:szCs w:val="24"/>
        </w:rPr>
        <w:t>Descripción de los organizadores curriculares (estructura curricular)</w:t>
      </w:r>
    </w:p>
    <w:p w14:paraId="4AE7DE39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Competencias profesionales:</w:t>
      </w:r>
    </w:p>
    <w:p w14:paraId="3C4500F5" w14:textId="35807043" w:rsidR="00555BBA" w:rsidRPr="00E27E86" w:rsidRDefault="00555BBA" w:rsidP="00E27E86">
      <w:pPr>
        <w:pStyle w:val="CuerpoA"/>
        <w:numPr>
          <w:ilvl w:val="0"/>
          <w:numId w:val="3"/>
        </w:numPr>
        <w:spacing w:line="360" w:lineRule="auto"/>
        <w:jc w:val="center"/>
        <w:rPr>
          <w:rStyle w:val="Ninguno"/>
          <w:rFonts w:ascii="Times New Roman" w:eastAsia="Arial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E427F16" w14:textId="77777777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Unidades de competencia que se desarrollan en el curso:</w:t>
      </w:r>
    </w:p>
    <w:p w14:paraId="18123ECB" w14:textId="31E8D455" w:rsidR="00555BBA" w:rsidRPr="00E27E86" w:rsidRDefault="00555BBA" w:rsidP="00E27E86">
      <w:pPr>
        <w:pStyle w:val="CuerpoA"/>
        <w:numPr>
          <w:ilvl w:val="0"/>
          <w:numId w:val="4"/>
        </w:numPr>
        <w:spacing w:line="360" w:lineRule="auto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sz w:val="24"/>
          <w:szCs w:val="24"/>
        </w:rPr>
        <w:t>Conoce y analiza los conceptos y contenidos del programa de estudios de la educación b</w:t>
      </w:r>
      <w:r w:rsidR="00E27E86">
        <w:rPr>
          <w:rStyle w:val="Ninguno"/>
          <w:rFonts w:ascii="Times New Roman" w:hAnsi="Times New Roman" w:cs="Times New Roman"/>
          <w:sz w:val="24"/>
          <w:szCs w:val="24"/>
          <w:lang w:val="pt-PT"/>
        </w:rPr>
        <w:t>ásica</w:t>
      </w:r>
      <w:r w:rsidRPr="00E27E86">
        <w:rPr>
          <w:rStyle w:val="Ninguno"/>
          <w:rFonts w:ascii="Times New Roman" w:hAnsi="Times New Roman" w:cs="Times New Roman"/>
          <w:sz w:val="24"/>
          <w:szCs w:val="24"/>
          <w:lang w:val="pt-PT"/>
        </w:rPr>
        <w:t xml:space="preserve"> de matem</w:t>
      </w:r>
      <w:r w:rsidRPr="00E27E86">
        <w:rPr>
          <w:rStyle w:val="Ninguno"/>
          <w:rFonts w:ascii="Times New Roman" w:hAnsi="Times New Roman" w:cs="Times New Roman"/>
          <w:sz w:val="24"/>
          <w:szCs w:val="24"/>
        </w:rPr>
        <w:t>áticas; crea actividades contextualizadas y pertinentes para asegurar el logro del aprendizaje de sus alumnos, la coherencia y la continuidad entre los distintos grados y niveles educativos.</w:t>
      </w:r>
    </w:p>
    <w:p w14:paraId="0B753738" w14:textId="7C6FA007" w:rsidR="00E27E86" w:rsidRPr="00E27E86" w:rsidRDefault="00E27E86" w:rsidP="00555BBA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Competencias Genéricas:</w:t>
      </w:r>
    </w:p>
    <w:p w14:paraId="5D48E223" w14:textId="2613850F" w:rsidR="00E27E86" w:rsidRPr="00E27E86" w:rsidRDefault="00E27E86" w:rsidP="00E27E86">
      <w:pPr>
        <w:pStyle w:val="CuerpoA"/>
        <w:numPr>
          <w:ilvl w:val="0"/>
          <w:numId w:val="1"/>
        </w:numPr>
        <w:spacing w:line="276" w:lineRule="auto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sz w:val="24"/>
          <w:szCs w:val="24"/>
        </w:rPr>
        <w:t>Soluciona problemas y toma decisiones utilizando su pensamiento crítico y creativo.</w:t>
      </w:r>
    </w:p>
    <w:p w14:paraId="4D18AF15" w14:textId="7EC5701A" w:rsidR="00E27E86" w:rsidRPr="00E27E86" w:rsidRDefault="00E27E86" w:rsidP="00E27E86">
      <w:pPr>
        <w:pStyle w:val="CuerpoA"/>
        <w:numPr>
          <w:ilvl w:val="0"/>
          <w:numId w:val="1"/>
        </w:numPr>
        <w:spacing w:line="276" w:lineRule="auto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sz w:val="24"/>
          <w:szCs w:val="24"/>
        </w:rPr>
        <w:t xml:space="preserve">Aprende de manera autónoma y muestra iniciativa para </w:t>
      </w:r>
      <w:r w:rsidRPr="00E27E86">
        <w:rPr>
          <w:rStyle w:val="Ninguno"/>
          <w:rFonts w:ascii="Times New Roman" w:hAnsi="Times New Roman" w:cs="Times New Roman"/>
          <w:sz w:val="24"/>
          <w:szCs w:val="24"/>
        </w:rPr>
        <w:t>autorregularse</w:t>
      </w:r>
      <w:r w:rsidRPr="00E27E86">
        <w:rPr>
          <w:rStyle w:val="Ninguno"/>
          <w:rFonts w:ascii="Times New Roman" w:hAnsi="Times New Roman" w:cs="Times New Roman"/>
          <w:sz w:val="24"/>
          <w:szCs w:val="24"/>
        </w:rPr>
        <w:t xml:space="preserve"> y fortalecer su desarrollo personal.</w:t>
      </w:r>
    </w:p>
    <w:p w14:paraId="4A02AB7D" w14:textId="47019B4F" w:rsidR="00E27E86" w:rsidRPr="00E27E86" w:rsidRDefault="00E27E86" w:rsidP="00E27E86">
      <w:pPr>
        <w:pStyle w:val="CuerpoA"/>
        <w:numPr>
          <w:ilvl w:val="0"/>
          <w:numId w:val="1"/>
        </w:numPr>
        <w:spacing w:line="276" w:lineRule="auto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sz w:val="24"/>
          <w:szCs w:val="24"/>
        </w:rPr>
        <w:t>Colabora con diversos actores para generar proyectos innovadores de impacto social y educativo.</w:t>
      </w:r>
    </w:p>
    <w:p w14:paraId="2A6FE113" w14:textId="77777777" w:rsidR="00E27E86" w:rsidRPr="00E27E86" w:rsidRDefault="00E27E86" w:rsidP="00555BBA">
      <w:pPr>
        <w:pStyle w:val="CuerpoA"/>
        <w:spacing w:line="360" w:lineRule="auto"/>
        <w:jc w:val="center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14:paraId="0EFFB662" w14:textId="2AD61C8C" w:rsidR="00555BBA" w:rsidRPr="00E27E86" w:rsidRDefault="00555BBA" w:rsidP="00555BBA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7E86">
        <w:rPr>
          <w:rStyle w:val="Ninguno"/>
          <w:rFonts w:ascii="Times New Roman" w:hAnsi="Times New Roman" w:cs="Times New Roman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25E67274" w14:textId="14C185D7" w:rsidR="00E27E86" w:rsidRPr="00E27E86" w:rsidRDefault="00E27E86" w:rsidP="00E27E86">
      <w:pPr>
        <w:pStyle w:val="Cuerpo"/>
        <w:rPr>
          <w:rStyle w:val="Ninguno"/>
          <w:rFonts w:cs="Times New Roman"/>
        </w:rPr>
      </w:pPr>
      <w:r w:rsidRPr="00E27E86">
        <w:rPr>
          <w:rFonts w:cs="Times New Roman"/>
        </w:rPr>
        <w:lastRenderedPageBreak/>
        <w:t xml:space="preserve">Realiza una matriz </w:t>
      </w:r>
      <w:r w:rsidRPr="00E27E86">
        <w:rPr>
          <w:rFonts w:cs="Times New Roman"/>
        </w:rPr>
        <w:t>analítica del</w:t>
      </w:r>
      <w:r w:rsidRPr="00E27E86">
        <w:rPr>
          <w:rFonts w:cs="Times New Roman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p w14:paraId="2DE71D6C" w14:textId="77777777" w:rsidR="00555BBA" w:rsidRPr="00B85D35" w:rsidRDefault="00555BBA" w:rsidP="00555BBA">
      <w:pPr>
        <w:pStyle w:val="Cuerpo"/>
        <w:rPr>
          <w:rStyle w:val="Ninguno"/>
        </w:rPr>
      </w:pPr>
    </w:p>
    <w:p w14:paraId="16608A65" w14:textId="77777777" w:rsidR="00555BBA" w:rsidRDefault="00555BBA" w:rsidP="00555BBA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1804"/>
        <w:gridCol w:w="850"/>
        <w:gridCol w:w="851"/>
        <w:gridCol w:w="850"/>
        <w:gridCol w:w="2977"/>
        <w:gridCol w:w="3118"/>
        <w:gridCol w:w="2909"/>
      </w:tblGrid>
      <w:tr w:rsidR="00555BBA" w14:paraId="677ADEFF" w14:textId="77777777" w:rsidTr="00086B64">
        <w:trPr>
          <w:trHeight w:val="446"/>
        </w:trPr>
        <w:tc>
          <w:tcPr>
            <w:tcW w:w="14244" w:type="dxa"/>
            <w:gridSpan w:val="8"/>
            <w:shd w:val="clear" w:color="auto" w:fill="D60093"/>
            <w:vAlign w:val="center"/>
          </w:tcPr>
          <w:p w14:paraId="10AA11D5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Cooper Black" w:hAnsi="Cooper Black"/>
                <w:lang w:val="es-ES_tradnl"/>
              </w:rPr>
            </w:pPr>
            <w:r w:rsidRPr="00B233FD">
              <w:rPr>
                <w:rStyle w:val="Ninguno"/>
                <w:rFonts w:ascii="Cooper Black" w:hAnsi="Cooper Black"/>
                <w:sz w:val="36"/>
                <w:lang w:val="es-ES_tradnl"/>
              </w:rPr>
              <w:t>Matriz Analítica</w:t>
            </w:r>
            <w:r>
              <w:rPr>
                <w:rStyle w:val="Ninguno"/>
                <w:rFonts w:ascii="Cooper Black" w:hAnsi="Cooper Black"/>
                <w:sz w:val="36"/>
                <w:lang w:val="es-ES_tradnl"/>
              </w:rPr>
              <w:t xml:space="preserve"> PREESCOLAR</w:t>
            </w:r>
          </w:p>
        </w:tc>
      </w:tr>
      <w:tr w:rsidR="00086B64" w14:paraId="4D1F3C69" w14:textId="77777777" w:rsidTr="00086B64">
        <w:trPr>
          <w:trHeight w:val="380"/>
        </w:trPr>
        <w:tc>
          <w:tcPr>
            <w:tcW w:w="2689" w:type="dxa"/>
            <w:gridSpan w:val="2"/>
            <w:shd w:val="clear" w:color="auto" w:fill="1CA6C6"/>
            <w:vAlign w:val="center"/>
          </w:tcPr>
          <w:p w14:paraId="6FC9D12F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Aprendizajes Clave</w:t>
            </w:r>
          </w:p>
        </w:tc>
        <w:tc>
          <w:tcPr>
            <w:tcW w:w="2551" w:type="dxa"/>
            <w:gridSpan w:val="3"/>
            <w:shd w:val="clear" w:color="auto" w:fill="FF6699"/>
            <w:vAlign w:val="center"/>
          </w:tcPr>
          <w:p w14:paraId="2C6AF9DA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Aprendizajes Clave</w:t>
            </w:r>
          </w:p>
        </w:tc>
        <w:tc>
          <w:tcPr>
            <w:tcW w:w="2977" w:type="dxa"/>
            <w:vMerge w:val="restart"/>
            <w:shd w:val="clear" w:color="auto" w:fill="FFC000"/>
            <w:vAlign w:val="center"/>
          </w:tcPr>
          <w:p w14:paraId="1EFFEAC0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Nivel de profundidad</w:t>
            </w:r>
          </w:p>
        </w:tc>
        <w:tc>
          <w:tcPr>
            <w:tcW w:w="3118" w:type="dxa"/>
            <w:vMerge w:val="restart"/>
            <w:shd w:val="clear" w:color="auto" w:fill="FE7F00"/>
            <w:vAlign w:val="center"/>
          </w:tcPr>
          <w:p w14:paraId="5ADD9753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Qué deben saber</w:t>
            </w:r>
          </w:p>
        </w:tc>
        <w:tc>
          <w:tcPr>
            <w:tcW w:w="2909" w:type="dxa"/>
            <w:vMerge w:val="restart"/>
            <w:shd w:val="clear" w:color="auto" w:fill="FF9BFF"/>
            <w:vAlign w:val="center"/>
          </w:tcPr>
          <w:p w14:paraId="02032140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Qué deben saber hacer</w:t>
            </w:r>
          </w:p>
        </w:tc>
      </w:tr>
      <w:tr w:rsidR="00C20739" w14:paraId="45AE123A" w14:textId="77777777" w:rsidTr="00086B64">
        <w:trPr>
          <w:trHeight w:val="761"/>
        </w:trPr>
        <w:tc>
          <w:tcPr>
            <w:tcW w:w="885" w:type="dxa"/>
            <w:shd w:val="clear" w:color="auto" w:fill="33CCFF"/>
            <w:vAlign w:val="center"/>
          </w:tcPr>
          <w:p w14:paraId="425D6FC6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Eje</w:t>
            </w:r>
          </w:p>
        </w:tc>
        <w:tc>
          <w:tcPr>
            <w:tcW w:w="1804" w:type="dxa"/>
            <w:shd w:val="clear" w:color="auto" w:fill="B0EE00"/>
            <w:vAlign w:val="center"/>
          </w:tcPr>
          <w:p w14:paraId="1595D16E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Tema</w:t>
            </w:r>
          </w:p>
        </w:tc>
        <w:tc>
          <w:tcPr>
            <w:tcW w:w="850" w:type="dxa"/>
            <w:shd w:val="clear" w:color="auto" w:fill="FFAFCA"/>
            <w:vAlign w:val="center"/>
          </w:tcPr>
          <w:p w14:paraId="2F901BEA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1er año</w:t>
            </w:r>
          </w:p>
        </w:tc>
        <w:tc>
          <w:tcPr>
            <w:tcW w:w="851" w:type="dxa"/>
            <w:shd w:val="clear" w:color="auto" w:fill="FFAFCA"/>
            <w:vAlign w:val="center"/>
          </w:tcPr>
          <w:p w14:paraId="468BA744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vertAlign w:val="superscript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2</w:t>
            </w:r>
            <w:r w:rsidRPr="00B233FD">
              <w:rPr>
                <w:rStyle w:val="Ninguno"/>
                <w:rFonts w:ascii="Gill Sans Ultra Bold Condensed" w:hAnsi="Gill Sans Ultra Bold Condensed"/>
                <w:sz w:val="28"/>
                <w:vertAlign w:val="superscript"/>
                <w:lang w:val="es-ES_tradnl"/>
              </w:rPr>
              <w:t xml:space="preserve">o </w:t>
            </w:r>
          </w:p>
          <w:p w14:paraId="769CAB93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año</w:t>
            </w:r>
          </w:p>
        </w:tc>
        <w:tc>
          <w:tcPr>
            <w:tcW w:w="850" w:type="dxa"/>
            <w:shd w:val="clear" w:color="auto" w:fill="FFAFCA"/>
            <w:vAlign w:val="center"/>
          </w:tcPr>
          <w:p w14:paraId="736F185E" w14:textId="77777777" w:rsidR="00555BBA" w:rsidRPr="00B233FD" w:rsidRDefault="00555BBA" w:rsidP="008634B9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3er año</w:t>
            </w:r>
          </w:p>
        </w:tc>
        <w:tc>
          <w:tcPr>
            <w:tcW w:w="2977" w:type="dxa"/>
            <w:vMerge/>
            <w:shd w:val="clear" w:color="auto" w:fill="FFC000"/>
          </w:tcPr>
          <w:p w14:paraId="0806B2A2" w14:textId="77777777" w:rsidR="00555BBA" w:rsidRPr="00B233FD" w:rsidRDefault="00555BBA" w:rsidP="008634B9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  <w:tc>
          <w:tcPr>
            <w:tcW w:w="3118" w:type="dxa"/>
            <w:vMerge/>
            <w:shd w:val="clear" w:color="auto" w:fill="FE7F00"/>
          </w:tcPr>
          <w:p w14:paraId="03FF944C" w14:textId="77777777" w:rsidR="00555BBA" w:rsidRPr="00B233FD" w:rsidRDefault="00555BBA" w:rsidP="008634B9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  <w:tc>
          <w:tcPr>
            <w:tcW w:w="2909" w:type="dxa"/>
            <w:vMerge/>
            <w:shd w:val="clear" w:color="auto" w:fill="FF9BFF"/>
          </w:tcPr>
          <w:p w14:paraId="7EE8D7DC" w14:textId="77777777" w:rsidR="00555BBA" w:rsidRPr="00B233FD" w:rsidRDefault="00555BBA" w:rsidP="008634B9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</w:tr>
      <w:tr w:rsidR="00C20739" w14:paraId="182FF3F7" w14:textId="77777777" w:rsidTr="00086B64">
        <w:trPr>
          <w:trHeight w:val="1430"/>
        </w:trPr>
        <w:tc>
          <w:tcPr>
            <w:tcW w:w="885" w:type="dxa"/>
            <w:vMerge w:val="restart"/>
            <w:shd w:val="clear" w:color="auto" w:fill="7DDDFF"/>
            <w:vAlign w:val="center"/>
          </w:tcPr>
          <w:p w14:paraId="6F774441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F</w:t>
            </w:r>
          </w:p>
          <w:p w14:paraId="4D8272A4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O</w:t>
            </w:r>
          </w:p>
          <w:p w14:paraId="2074CF54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R</w:t>
            </w:r>
          </w:p>
          <w:p w14:paraId="3C428383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M</w:t>
            </w:r>
          </w:p>
          <w:p w14:paraId="5EBC02B1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  <w:p w14:paraId="6DC032CA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01695E35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424FBD3E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E</w:t>
            </w:r>
          </w:p>
          <w:p w14:paraId="081BD0E4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S</w:t>
            </w:r>
          </w:p>
          <w:p w14:paraId="2E295FD8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P</w:t>
            </w:r>
          </w:p>
          <w:p w14:paraId="044EB0F9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  <w:p w14:paraId="59E7E937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C</w:t>
            </w:r>
          </w:p>
          <w:p w14:paraId="30EADBFE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I</w:t>
            </w:r>
          </w:p>
          <w:p w14:paraId="3D066029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O</w:t>
            </w:r>
          </w:p>
          <w:p w14:paraId="38A3EA46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035F500E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Y</w:t>
            </w:r>
          </w:p>
          <w:p w14:paraId="7A8EEDA4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583FB47F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M</w:t>
            </w:r>
          </w:p>
          <w:p w14:paraId="1EFC5929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E</w:t>
            </w:r>
          </w:p>
          <w:p w14:paraId="51F53862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D</w:t>
            </w:r>
          </w:p>
          <w:p w14:paraId="4780F42C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I</w:t>
            </w:r>
          </w:p>
          <w:p w14:paraId="39241D64" w14:textId="77777777" w:rsidR="00C20739" w:rsidRPr="00B233FD" w:rsidRDefault="00C20739" w:rsidP="008634B9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D</w:t>
            </w:r>
          </w:p>
          <w:p w14:paraId="39886443" w14:textId="77777777" w:rsidR="00C20739" w:rsidRDefault="00C20739" w:rsidP="008634B9">
            <w:pPr>
              <w:pStyle w:val="Cuerpo"/>
              <w:jc w:val="center"/>
              <w:rPr>
                <w:rStyle w:val="Ninguno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</w:tc>
        <w:tc>
          <w:tcPr>
            <w:tcW w:w="1804" w:type="dxa"/>
            <w:vMerge w:val="restart"/>
            <w:shd w:val="clear" w:color="auto" w:fill="DAFF71"/>
            <w:vAlign w:val="center"/>
          </w:tcPr>
          <w:p w14:paraId="262A5ED4" w14:textId="77777777" w:rsidR="00086B64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  <w:r>
              <w:rPr>
                <w:rStyle w:val="Ninguno"/>
                <w:rFonts w:ascii="Showcard Gothic" w:hAnsi="Showcard Gothic"/>
                <w:lang w:val="es-ES_tradnl"/>
              </w:rPr>
              <w:t xml:space="preserve">Magnitudes y </w:t>
            </w:r>
          </w:p>
          <w:p w14:paraId="407B3D80" w14:textId="480FEE00" w:rsidR="00C20739" w:rsidRPr="00726F51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  <w:r>
              <w:rPr>
                <w:rStyle w:val="Ninguno"/>
                <w:rFonts w:ascii="Showcard Gothic" w:hAnsi="Showcard Gothic"/>
                <w:lang w:val="es-ES_tradnl"/>
              </w:rPr>
              <w:t>medidas</w:t>
            </w:r>
          </w:p>
        </w:tc>
        <w:tc>
          <w:tcPr>
            <w:tcW w:w="2551" w:type="dxa"/>
            <w:gridSpan w:val="3"/>
            <w:vAlign w:val="center"/>
          </w:tcPr>
          <w:p w14:paraId="1795D473" w14:textId="77777777" w:rsidR="00C20739" w:rsidRPr="00C20739" w:rsidRDefault="00C20739" w:rsidP="00C2073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</w:rPr>
              <w:t>• Identifica la longitud de varios objetos a través de la comparación directa o</w:t>
            </w:r>
          </w:p>
          <w:p w14:paraId="2D34C662" w14:textId="2618BF97" w:rsidR="00C20739" w:rsidRPr="00C20739" w:rsidRDefault="00C20739" w:rsidP="00C20739">
            <w:pPr>
              <w:pStyle w:val="Cuerpo"/>
              <w:jc w:val="center"/>
              <w:rPr>
                <w:rStyle w:val="Ninguno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</w:rPr>
              <w:t>mediante el uso de un intermediario.</w:t>
            </w:r>
          </w:p>
        </w:tc>
        <w:tc>
          <w:tcPr>
            <w:tcW w:w="2977" w:type="dxa"/>
            <w:vAlign w:val="center"/>
          </w:tcPr>
          <w:p w14:paraId="5CAB7B69" w14:textId="15FC415A" w:rsidR="00C20739" w:rsidRPr="00DC112D" w:rsidRDefault="00086B64" w:rsidP="00086B64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L</w:t>
            </w:r>
            <w:r w:rsidRPr="00086B64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as actividades deben permitir la manipulación y el</w:t>
            </w:r>
            <w:r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 xml:space="preserve"> </w:t>
            </w:r>
            <w:r w:rsidRPr="00086B64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acercamiento directo para generar experiencias significativas (comparar el t</w:t>
            </w:r>
            <w:r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a</w:t>
            </w:r>
            <w:r w:rsidRPr="00086B64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maño de una ballena y un gallo en una imagen para saber cuál es más grande).</w:t>
            </w:r>
          </w:p>
        </w:tc>
        <w:tc>
          <w:tcPr>
            <w:tcW w:w="3118" w:type="dxa"/>
            <w:vAlign w:val="center"/>
          </w:tcPr>
          <w:p w14:paraId="39AA54DE" w14:textId="3E52CCEE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225B4F46" w14:textId="286795BF" w:rsidR="00C20739" w:rsidRDefault="00F041DB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</w:rPr>
              <w:t xml:space="preserve">• </w:t>
            </w:r>
            <w:r>
              <w:rPr>
                <w:rStyle w:val="Ninguno"/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E</w:t>
            </w:r>
            <w:r w:rsidRPr="00086B64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stimar y verificar la longitud de distancias, la estatura de personas o alguna dimensión de los objetos (largo, ancho, alto)</w:t>
            </w:r>
          </w:p>
          <w:p w14:paraId="28E887CC" w14:textId="77777777" w:rsidR="00F041DB" w:rsidRDefault="00F041DB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  <w:p w14:paraId="7E518388" w14:textId="6DC0238A" w:rsidR="00F041DB" w:rsidRPr="00F041DB" w:rsidRDefault="00F041DB" w:rsidP="00F041DB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</w:rPr>
              <w:t>•</w:t>
            </w:r>
            <w:r>
              <w:rPr>
                <w:rStyle w:val="Ninguno"/>
                <w:rFonts w:ascii="Comic Sans MS" w:hAnsi="Comic Sans MS"/>
                <w:sz w:val="20"/>
                <w:szCs w:val="20"/>
              </w:rPr>
              <w:t xml:space="preserve"> E</w:t>
            </w:r>
            <w:r w:rsidRPr="00F041DB">
              <w:rPr>
                <w:rStyle w:val="Ninguno"/>
                <w:rFonts w:ascii="Comic Sans MS" w:hAnsi="Comic Sans MS"/>
                <w:sz w:val="20"/>
                <w:szCs w:val="20"/>
              </w:rPr>
              <w:t xml:space="preserve">ncontrar objetos que en alguna de sus dimensiones compartan la misma longitud: "¿Cuán tos pasos habrá del columpio </w:t>
            </w:r>
            <w:r w:rsidRPr="00F041DB">
              <w:rPr>
                <w:rStyle w:val="Ninguno"/>
                <w:rFonts w:ascii="Comic Sans MS" w:hAnsi="Comic Sans MS"/>
                <w:sz w:val="20"/>
                <w:szCs w:val="20"/>
              </w:rPr>
              <w:t>a la asta bandera</w:t>
            </w:r>
            <w:r w:rsidRPr="00F041DB">
              <w:rPr>
                <w:rStyle w:val="Ninguno"/>
                <w:rFonts w:ascii="Comic Sans MS" w:hAnsi="Comic Sans MS"/>
                <w:sz w:val="20"/>
                <w:szCs w:val="20"/>
              </w:rPr>
              <w:t>?", "¿Cómo podemos saber quién saltó más lejos en el juego?", "Vamos a ver si hay niños que midan lo mismo</w:t>
            </w:r>
            <w:r>
              <w:rPr>
                <w:rStyle w:val="Ninguno"/>
                <w:rFonts w:ascii="Comic Sans MS" w:hAnsi="Comic Sans MS"/>
                <w:sz w:val="20"/>
                <w:szCs w:val="20"/>
              </w:rPr>
              <w:t xml:space="preserve"> </w:t>
            </w:r>
            <w:r w:rsidRPr="00F041DB">
              <w:rPr>
                <w:rStyle w:val="Ninguno"/>
                <w:rFonts w:ascii="Comic Sans MS" w:hAnsi="Comic Sans MS"/>
                <w:sz w:val="20"/>
                <w:szCs w:val="20"/>
              </w:rPr>
              <w:t>que Mariana".</w:t>
            </w:r>
          </w:p>
        </w:tc>
      </w:tr>
      <w:tr w:rsidR="00C20739" w14:paraId="4B896527" w14:textId="77777777" w:rsidTr="00086B64">
        <w:trPr>
          <w:trHeight w:val="1430"/>
        </w:trPr>
        <w:tc>
          <w:tcPr>
            <w:tcW w:w="885" w:type="dxa"/>
            <w:vMerge/>
            <w:shd w:val="clear" w:color="auto" w:fill="7DDDFF"/>
            <w:vAlign w:val="center"/>
          </w:tcPr>
          <w:p w14:paraId="19B0C26E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</w:tc>
        <w:tc>
          <w:tcPr>
            <w:tcW w:w="1804" w:type="dxa"/>
            <w:vMerge/>
            <w:shd w:val="clear" w:color="auto" w:fill="DAFF71"/>
            <w:vAlign w:val="center"/>
          </w:tcPr>
          <w:p w14:paraId="2D1FC131" w14:textId="77777777" w:rsidR="00C20739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5AD23C" w14:textId="18375DED" w:rsidR="00C20739" w:rsidRPr="00DC112D" w:rsidRDefault="00C20739" w:rsidP="00C2073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•</w:t>
            </w:r>
            <w:r w:rsidR="00086B64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Compara distancias mediante el uso de un intermediario.</w:t>
            </w:r>
          </w:p>
        </w:tc>
        <w:tc>
          <w:tcPr>
            <w:tcW w:w="2977" w:type="dxa"/>
            <w:vAlign w:val="center"/>
          </w:tcPr>
          <w:p w14:paraId="2140374B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3795F683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3643365D" w14:textId="18077D33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20739" w14:paraId="7D778524" w14:textId="77777777" w:rsidTr="00086B64">
        <w:trPr>
          <w:trHeight w:val="1430"/>
        </w:trPr>
        <w:tc>
          <w:tcPr>
            <w:tcW w:w="885" w:type="dxa"/>
            <w:vMerge/>
            <w:shd w:val="clear" w:color="auto" w:fill="7DDDFF"/>
            <w:vAlign w:val="center"/>
          </w:tcPr>
          <w:p w14:paraId="70FA5B10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</w:tc>
        <w:tc>
          <w:tcPr>
            <w:tcW w:w="1804" w:type="dxa"/>
            <w:vMerge/>
            <w:shd w:val="clear" w:color="auto" w:fill="DAFF71"/>
            <w:vAlign w:val="center"/>
          </w:tcPr>
          <w:p w14:paraId="4F84631B" w14:textId="77777777" w:rsidR="00C20739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14B684" w14:textId="6ABE58EC" w:rsidR="00C20739" w:rsidRPr="00DC112D" w:rsidRDefault="00C20739" w:rsidP="00C2073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•Mide objetos o distancias mediante el uso de unidades no convencionales.</w:t>
            </w:r>
          </w:p>
        </w:tc>
        <w:tc>
          <w:tcPr>
            <w:tcW w:w="2977" w:type="dxa"/>
            <w:vAlign w:val="center"/>
          </w:tcPr>
          <w:p w14:paraId="13AAED94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1F68F18D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24DAEB09" w14:textId="590A2AB1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20739" w14:paraId="0FD39A7C" w14:textId="77777777" w:rsidTr="00086B64">
        <w:trPr>
          <w:trHeight w:val="1430"/>
        </w:trPr>
        <w:tc>
          <w:tcPr>
            <w:tcW w:w="885" w:type="dxa"/>
            <w:vMerge/>
            <w:shd w:val="clear" w:color="auto" w:fill="7DDDFF"/>
            <w:vAlign w:val="center"/>
          </w:tcPr>
          <w:p w14:paraId="6D3BC437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</w:tc>
        <w:tc>
          <w:tcPr>
            <w:tcW w:w="1804" w:type="dxa"/>
            <w:vMerge/>
            <w:shd w:val="clear" w:color="auto" w:fill="DAFF71"/>
            <w:vAlign w:val="center"/>
          </w:tcPr>
          <w:p w14:paraId="28E361DA" w14:textId="77777777" w:rsidR="00C20739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2B3283B" w14:textId="0FE6B1A6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• Identifica varios eventos de su vida cotidiana y dice el orden en que ocurren.</w:t>
            </w:r>
          </w:p>
        </w:tc>
        <w:tc>
          <w:tcPr>
            <w:tcW w:w="2977" w:type="dxa"/>
            <w:vAlign w:val="center"/>
          </w:tcPr>
          <w:p w14:paraId="1E1B3800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1540264E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362DA304" w14:textId="28CBEF96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20739" w14:paraId="35F50012" w14:textId="77777777" w:rsidTr="00086B64">
        <w:trPr>
          <w:trHeight w:val="1430"/>
        </w:trPr>
        <w:tc>
          <w:tcPr>
            <w:tcW w:w="885" w:type="dxa"/>
            <w:vMerge/>
            <w:shd w:val="clear" w:color="auto" w:fill="7DDDFF"/>
            <w:vAlign w:val="center"/>
          </w:tcPr>
          <w:p w14:paraId="43DA4C35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</w:tc>
        <w:tc>
          <w:tcPr>
            <w:tcW w:w="1804" w:type="dxa"/>
            <w:vMerge/>
            <w:shd w:val="clear" w:color="auto" w:fill="DAFF71"/>
            <w:vAlign w:val="center"/>
          </w:tcPr>
          <w:p w14:paraId="28AA59D5" w14:textId="77777777" w:rsidR="00C20739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FE8C1AC" w14:textId="3FF8B0EB" w:rsidR="00C20739" w:rsidRPr="00DC112D" w:rsidRDefault="00C20739" w:rsidP="00C2073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•Usa expresiones temporales y representaciones gráficas para explicar la sucesión de</w:t>
            </w:r>
            <w:r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 xml:space="preserve"> </w:t>
            </w: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eventos.</w:t>
            </w:r>
          </w:p>
        </w:tc>
        <w:tc>
          <w:tcPr>
            <w:tcW w:w="2977" w:type="dxa"/>
            <w:vAlign w:val="center"/>
          </w:tcPr>
          <w:p w14:paraId="2F5AB828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465793BF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2A450C48" w14:textId="3D5A6530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20739" w14:paraId="2E59BE54" w14:textId="77777777" w:rsidTr="00086B64">
        <w:trPr>
          <w:trHeight w:val="1430"/>
        </w:trPr>
        <w:tc>
          <w:tcPr>
            <w:tcW w:w="885" w:type="dxa"/>
            <w:vMerge/>
            <w:shd w:val="clear" w:color="auto" w:fill="7DDDFF"/>
            <w:vAlign w:val="center"/>
          </w:tcPr>
          <w:p w14:paraId="13108B2F" w14:textId="77777777" w:rsidR="00C20739" w:rsidRPr="00B233FD" w:rsidRDefault="00C20739" w:rsidP="00555BBA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</w:tc>
        <w:tc>
          <w:tcPr>
            <w:tcW w:w="1804" w:type="dxa"/>
            <w:vMerge/>
            <w:shd w:val="clear" w:color="auto" w:fill="DAFF71"/>
            <w:vAlign w:val="center"/>
          </w:tcPr>
          <w:p w14:paraId="7CB838FA" w14:textId="77777777" w:rsidR="00C20739" w:rsidRDefault="00C20739" w:rsidP="008634B9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CC69A1E" w14:textId="016D24A3" w:rsidR="00C20739" w:rsidRPr="00DC112D" w:rsidRDefault="00C20739" w:rsidP="00C2073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  <w:r w:rsidRPr="00C20739"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  <w:t>•Usa unidades no convencionales para medir la capacidad con distintos propósitos.</w:t>
            </w:r>
          </w:p>
        </w:tc>
        <w:tc>
          <w:tcPr>
            <w:tcW w:w="2977" w:type="dxa"/>
            <w:vAlign w:val="center"/>
          </w:tcPr>
          <w:p w14:paraId="1A136DA8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76628A23" w14:textId="77777777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2909" w:type="dxa"/>
            <w:vAlign w:val="center"/>
          </w:tcPr>
          <w:p w14:paraId="426EC3C9" w14:textId="6D3386C8" w:rsidR="00C20739" w:rsidRPr="00DC112D" w:rsidRDefault="00C20739" w:rsidP="008634B9">
            <w:pPr>
              <w:pStyle w:val="Cuerpo"/>
              <w:jc w:val="center"/>
              <w:rPr>
                <w:rStyle w:val="Ninguno"/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</w:tbl>
    <w:p w14:paraId="2C5AAE8D" w14:textId="77777777" w:rsidR="00555BBA" w:rsidRPr="00FD70B1" w:rsidRDefault="00555BBA" w:rsidP="00555BBA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5635AD1E" w14:textId="77777777" w:rsidR="00A60E07" w:rsidRDefault="00A60E07"/>
    <w:sectPr w:rsidR="00A60E07" w:rsidSect="00555BB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5F2"/>
      </v:shape>
    </w:pict>
  </w:numPicBullet>
  <w:abstractNum w:abstractNumId="0" w15:restartNumberingAfterBreak="0">
    <w:nsid w:val="1B5F3926"/>
    <w:multiLevelType w:val="hybridMultilevel"/>
    <w:tmpl w:val="7EA63BA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826"/>
    <w:multiLevelType w:val="hybridMultilevel"/>
    <w:tmpl w:val="5AA29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73E1"/>
    <w:multiLevelType w:val="hybridMultilevel"/>
    <w:tmpl w:val="A3F22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57758"/>
    <w:multiLevelType w:val="hybridMultilevel"/>
    <w:tmpl w:val="973C5CEA"/>
    <w:lvl w:ilvl="0" w:tplc="F466A6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A"/>
    <w:rsid w:val="00086B64"/>
    <w:rsid w:val="00555BBA"/>
    <w:rsid w:val="00A60E07"/>
    <w:rsid w:val="00C20739"/>
    <w:rsid w:val="00E27E86"/>
    <w:rsid w:val="00F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CC05"/>
  <w15:chartTrackingRefBased/>
  <w15:docId w15:val="{28BEE3C0-E0D0-498D-92DB-A5C715A9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55BB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styleId="Hipervnculo">
    <w:name w:val="Hyperlink"/>
    <w:rsid w:val="00555BBA"/>
    <w:rPr>
      <w:u w:val="single"/>
    </w:rPr>
  </w:style>
  <w:style w:type="paragraph" w:customStyle="1" w:styleId="CuerpoA">
    <w:name w:val="Cuerpo A"/>
    <w:rsid w:val="00555B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555BBA"/>
  </w:style>
  <w:style w:type="paragraph" w:customStyle="1" w:styleId="Cuerpo">
    <w:name w:val="Cuerpo"/>
    <w:rsid w:val="0055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555BB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660419B7221M153621247A3&amp;idMateria=6105&amp;idMateria=6105&amp;a=M199&amp;an=CRISTINA%20ISELA%20VALENZUELA%20ESCALER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2</cp:revision>
  <dcterms:created xsi:type="dcterms:W3CDTF">2021-05-20T14:01:00Z</dcterms:created>
  <dcterms:modified xsi:type="dcterms:W3CDTF">2021-05-20T14:01:00Z</dcterms:modified>
</cp:coreProperties>
</file>