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BD" w:rsidRDefault="00A86DBD" w:rsidP="00A86DBD">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rsidR="00A86DBD" w:rsidRDefault="00A86DBD" w:rsidP="00A86DBD">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06563C11" wp14:editId="354B116C">
            <wp:simplePos x="0" y="0"/>
            <wp:positionH relativeFrom="margin">
              <wp:posOffset>2358390</wp:posOffset>
            </wp:positionH>
            <wp:positionV relativeFrom="paragraph">
              <wp:posOffset>27940</wp:posOffset>
            </wp:positionV>
            <wp:extent cx="1053465" cy="1292860"/>
            <wp:effectExtent l="0" t="0" r="0" b="254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465" cy="1292860"/>
                    </a:xfrm>
                    <a:prstGeom prst="rect">
                      <a:avLst/>
                    </a:prstGeom>
                    <a:noFill/>
                  </pic:spPr>
                </pic:pic>
              </a:graphicData>
            </a:graphic>
            <wp14:sizeRelH relativeFrom="margin">
              <wp14:pctWidth>0</wp14:pctWidth>
            </wp14:sizeRelH>
            <wp14:sizeRelV relativeFrom="margin">
              <wp14:pctHeight>0</wp14:pctHeight>
            </wp14:sizeRelV>
          </wp:anchor>
        </w:drawing>
      </w:r>
    </w:p>
    <w:p w:rsidR="00A86DBD" w:rsidRDefault="00A86DBD" w:rsidP="00A86DBD">
      <w:pPr>
        <w:jc w:val="center"/>
        <w:rPr>
          <w:rFonts w:ascii="Times New Roman" w:hAnsi="Times New Roman" w:cs="Times New Roman"/>
          <w:b/>
        </w:rPr>
      </w:pPr>
    </w:p>
    <w:p w:rsidR="00A86DBD" w:rsidRDefault="00A86DBD" w:rsidP="00A86DBD">
      <w:pPr>
        <w:jc w:val="center"/>
        <w:rPr>
          <w:rFonts w:ascii="Times New Roman" w:hAnsi="Times New Roman" w:cs="Times New Roman"/>
          <w:b/>
        </w:rPr>
      </w:pPr>
    </w:p>
    <w:p w:rsidR="00A86DBD" w:rsidRDefault="00A86DBD" w:rsidP="00A86DBD">
      <w:pPr>
        <w:rPr>
          <w:rFonts w:ascii="Times New Roman" w:hAnsi="Times New Roman" w:cs="Times New Roman"/>
          <w:b/>
          <w:sz w:val="36"/>
          <w:szCs w:val="36"/>
        </w:rPr>
      </w:pPr>
    </w:p>
    <w:p w:rsidR="00A86DBD" w:rsidRDefault="00A86DBD" w:rsidP="00A86DBD">
      <w:pPr>
        <w:rPr>
          <w:rFonts w:ascii="Times New Roman" w:hAnsi="Times New Roman" w:cs="Times New Roman"/>
          <w:b/>
          <w:sz w:val="36"/>
          <w:szCs w:val="36"/>
        </w:rPr>
      </w:pPr>
    </w:p>
    <w:p w:rsidR="00A86DBD" w:rsidRDefault="00A86DBD" w:rsidP="00A86DBD">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A86DBD" w:rsidRDefault="00A86DBD" w:rsidP="00A86DBD">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A86DBD" w:rsidRDefault="00A86DBD" w:rsidP="00A86DBD">
      <w:pPr>
        <w:jc w:val="center"/>
        <w:rPr>
          <w:rFonts w:ascii="Times New Roman" w:hAnsi="Times New Roman" w:cs="Times New Roman"/>
          <w:b/>
          <w:sz w:val="28"/>
          <w:szCs w:val="24"/>
        </w:rPr>
      </w:pPr>
      <w:r>
        <w:rPr>
          <w:rFonts w:ascii="Times New Roman" w:hAnsi="Times New Roman" w:cs="Times New Roman"/>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A86DBD" w:rsidTr="00D07E2E">
        <w:trPr>
          <w:tblCellSpacing w:w="0" w:type="dxa"/>
          <w:jc w:val="center"/>
        </w:trPr>
        <w:tc>
          <w:tcPr>
            <w:tcW w:w="0" w:type="auto"/>
            <w:vAlign w:val="center"/>
            <w:hideMark/>
          </w:tcPr>
          <w:p w:rsidR="00A86DBD" w:rsidRDefault="00A86DBD" w:rsidP="00D07E2E">
            <w:pPr>
              <w:rPr>
                <w:rFonts w:ascii="Verdana" w:hAnsi="Verdana" w:cs="Times New Roman"/>
                <w:color w:val="000000"/>
                <w:sz w:val="24"/>
                <w:szCs w:val="24"/>
              </w:rPr>
            </w:pPr>
          </w:p>
        </w:tc>
      </w:tr>
      <w:tr w:rsidR="00A86DBD" w:rsidTr="00D07E2E">
        <w:trPr>
          <w:tblCellSpacing w:w="0" w:type="dxa"/>
          <w:jc w:val="center"/>
        </w:trPr>
        <w:tc>
          <w:tcPr>
            <w:tcW w:w="0" w:type="auto"/>
            <w:vAlign w:val="center"/>
            <w:hideMark/>
          </w:tcPr>
          <w:p w:rsidR="00A86DBD" w:rsidRDefault="00A86DBD" w:rsidP="00D07E2E">
            <w:pPr>
              <w:ind w:left="60"/>
              <w:jc w:val="both"/>
              <w:rPr>
                <w:rFonts w:ascii="Verdana" w:hAnsi="Verdana" w:cs="Times New Roman"/>
                <w:color w:val="000000"/>
                <w:sz w:val="24"/>
                <w:szCs w:val="24"/>
              </w:rPr>
            </w:pPr>
          </w:p>
        </w:tc>
      </w:tr>
    </w:tbl>
    <w:p w:rsidR="00A86DBD" w:rsidRPr="003E0DEE" w:rsidRDefault="00A86DBD" w:rsidP="00A86DBD">
      <w:pPr>
        <w:pStyle w:val="Ttulo3"/>
        <w:spacing w:before="30" w:beforeAutospacing="0" w:after="30" w:afterAutospacing="0"/>
        <w:ind w:left="60"/>
        <w:jc w:val="center"/>
        <w:rPr>
          <w:rFonts w:ascii="Arial" w:hAnsi="Arial" w:cs="Arial"/>
          <w:color w:val="000000"/>
          <w:sz w:val="26"/>
          <w:szCs w:val="26"/>
        </w:rPr>
      </w:pPr>
      <w:r w:rsidRPr="00A86DBD">
        <w:rPr>
          <w:bCs w:val="0"/>
          <w:color w:val="000000"/>
          <w:sz w:val="28"/>
          <w:szCs w:val="24"/>
        </w:rPr>
        <w:t>Profesor</w:t>
      </w:r>
      <w:r w:rsidRPr="00A86DBD">
        <w:rPr>
          <w:bCs w:val="0"/>
          <w:color w:val="000000"/>
          <w:sz w:val="28"/>
          <w:szCs w:val="28"/>
        </w:rPr>
        <w:t>:</w:t>
      </w:r>
      <w:r w:rsidRPr="003E0DEE">
        <w:rPr>
          <w:b w:val="0"/>
          <w:bCs w:val="0"/>
          <w:color w:val="000000"/>
          <w:sz w:val="28"/>
          <w:szCs w:val="28"/>
        </w:rPr>
        <w:t xml:space="preserve"> </w:t>
      </w:r>
      <w:hyperlink r:id="rId7"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rsidR="00A86DBD" w:rsidRPr="00C122F2" w:rsidRDefault="00A86DBD" w:rsidP="00A86DBD">
      <w:pPr>
        <w:jc w:val="center"/>
        <w:rPr>
          <w:rFonts w:ascii="Times New Roman" w:hAnsi="Times New Roman" w:cs="Times New Roman"/>
          <w:b/>
          <w:sz w:val="44"/>
          <w:szCs w:val="24"/>
        </w:rPr>
      </w:pPr>
      <w:bookmarkStart w:id="0" w:name="_GoBack"/>
      <w:r w:rsidRPr="00C122F2">
        <w:rPr>
          <w:rFonts w:ascii="Times New Roman" w:hAnsi="Times New Roman" w:cs="Times New Roman"/>
          <w:b/>
          <w:sz w:val="44"/>
          <w:szCs w:val="24"/>
        </w:rPr>
        <w:t>Sentido y fines de la educación</w:t>
      </w:r>
      <w:bookmarkEnd w:id="0"/>
    </w:p>
    <w:p w:rsidR="00A86DBD" w:rsidRDefault="00A86DBD" w:rsidP="00A86DBD">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xml:space="preserve">: </w:t>
      </w:r>
    </w:p>
    <w:p w:rsidR="00A86DBD" w:rsidRDefault="00A86DBD" w:rsidP="00A86DBD">
      <w:pPr>
        <w:jc w:val="center"/>
        <w:rPr>
          <w:rFonts w:ascii="Times New Roman" w:hAnsi="Times New Roman" w:cs="Times New Roman"/>
          <w:sz w:val="28"/>
          <w:szCs w:val="24"/>
        </w:rPr>
      </w:pPr>
      <w:r>
        <w:rPr>
          <w:rFonts w:ascii="Times New Roman" w:hAnsi="Times New Roman" w:cs="Times New Roman"/>
          <w:sz w:val="28"/>
          <w:szCs w:val="24"/>
        </w:rPr>
        <w:t>Karla Nayeli Agüero Cruz N.L. 1</w:t>
      </w:r>
    </w:p>
    <w:p w:rsidR="00A86DBD" w:rsidRDefault="00A86DBD" w:rsidP="00A86DBD">
      <w:pPr>
        <w:jc w:val="center"/>
        <w:rPr>
          <w:rFonts w:ascii="Times New Roman" w:hAnsi="Times New Roman" w:cs="Times New Roman"/>
          <w:sz w:val="28"/>
          <w:szCs w:val="24"/>
        </w:rPr>
      </w:pPr>
      <w:r>
        <w:rPr>
          <w:rFonts w:ascii="Times New Roman" w:hAnsi="Times New Roman" w:cs="Times New Roman"/>
          <w:sz w:val="28"/>
          <w:szCs w:val="24"/>
        </w:rPr>
        <w:t>Cuarto semestre sección “A”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86DBD" w:rsidRPr="00FF546C" w:rsidTr="00D07E2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6DBD" w:rsidRPr="00FF546C" w:rsidRDefault="00A86DBD" w:rsidP="00D07E2E">
            <w:pPr>
              <w:spacing w:after="0" w:line="240" w:lineRule="auto"/>
              <w:ind w:left="60"/>
              <w:jc w:val="both"/>
              <w:rPr>
                <w:rFonts w:ascii="Verdana" w:eastAsia="Times New Roman" w:hAnsi="Verdana" w:cs="Times New Roman"/>
                <w:b/>
                <w:color w:val="000000"/>
                <w:sz w:val="24"/>
                <w:szCs w:val="24"/>
                <w:lang w:eastAsia="es-MX"/>
              </w:rPr>
            </w:pPr>
            <w:r w:rsidRPr="00FF546C">
              <w:rPr>
                <w:rFonts w:ascii="Verdana" w:eastAsia="Times New Roman" w:hAnsi="Verdana" w:cs="Times New Roman"/>
                <w:b/>
                <w:color w:val="000000"/>
                <w:sz w:val="24"/>
                <w:szCs w:val="24"/>
                <w:lang w:eastAsia="es-MX"/>
              </w:rPr>
              <w:t>UNIDAD DE APRENDIZAJE II. EL SENTIDO Y LOS FINES DE LA EDUCACIÓN.</w:t>
            </w:r>
          </w:p>
        </w:tc>
      </w:tr>
      <w:tr w:rsidR="00A86DBD" w:rsidRPr="00FF546C" w:rsidTr="00D07E2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2"/>
              <w:gridCol w:w="8380"/>
            </w:tblGrid>
            <w:tr w:rsidR="00A86DBD" w:rsidRPr="00FF546C" w:rsidTr="00D07E2E">
              <w:trPr>
                <w:tblCellSpacing w:w="15" w:type="dxa"/>
              </w:trPr>
              <w:tc>
                <w:tcPr>
                  <w:tcW w:w="0" w:type="auto"/>
                  <w:hideMark/>
                </w:tcPr>
                <w:p w:rsidR="00A86DBD" w:rsidRPr="00FF546C" w:rsidRDefault="00A86DBD" w:rsidP="00D07E2E">
                  <w:pPr>
                    <w:spacing w:after="0" w:line="240" w:lineRule="auto"/>
                    <w:ind w:left="60"/>
                    <w:jc w:val="both"/>
                    <w:rPr>
                      <w:rFonts w:ascii="Verdana" w:eastAsia="Times New Roman" w:hAnsi="Verdana" w:cs="Times New Roman"/>
                      <w:color w:val="000000"/>
                      <w:sz w:val="24"/>
                      <w:szCs w:val="24"/>
                      <w:lang w:eastAsia="es-MX"/>
                    </w:rPr>
                  </w:pPr>
                  <w:r w:rsidRPr="00FF546C">
                    <w:rPr>
                      <w:rFonts w:ascii="Verdana" w:eastAsia="Times New Roman" w:hAnsi="Verdana" w:cs="Times New Roman"/>
                      <w:noProof/>
                      <w:color w:val="000000"/>
                      <w:sz w:val="24"/>
                      <w:szCs w:val="24"/>
                      <w:lang w:eastAsia="es-MX"/>
                    </w:rPr>
                    <w:drawing>
                      <wp:inline distT="0" distB="0" distL="0" distR="0" wp14:anchorId="1BE82D62" wp14:editId="3521D794">
                        <wp:extent cx="99695" cy="99695"/>
                        <wp:effectExtent l="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rsidR="00A86DBD" w:rsidRPr="00FF546C" w:rsidRDefault="00A86DBD" w:rsidP="00D07E2E">
                  <w:pPr>
                    <w:spacing w:after="0" w:line="240" w:lineRule="auto"/>
                    <w:ind w:left="60"/>
                    <w:rPr>
                      <w:rFonts w:ascii="Verdana" w:eastAsia="Times New Roman" w:hAnsi="Verdana" w:cs="Times New Roman"/>
                      <w:color w:val="000000"/>
                      <w:sz w:val="24"/>
                      <w:szCs w:val="24"/>
                      <w:lang w:eastAsia="es-MX"/>
                    </w:rPr>
                  </w:pPr>
                  <w:r w:rsidRPr="00FF546C">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A86DBD" w:rsidRPr="00FF546C" w:rsidRDefault="00A86DBD" w:rsidP="00D07E2E">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2"/>
              <w:gridCol w:w="8380"/>
            </w:tblGrid>
            <w:tr w:rsidR="00A86DBD" w:rsidRPr="00FF546C" w:rsidTr="00D07E2E">
              <w:trPr>
                <w:tblCellSpacing w:w="15" w:type="dxa"/>
              </w:trPr>
              <w:tc>
                <w:tcPr>
                  <w:tcW w:w="0" w:type="auto"/>
                  <w:hideMark/>
                </w:tcPr>
                <w:p w:rsidR="00A86DBD" w:rsidRPr="00FF546C" w:rsidRDefault="00A86DBD" w:rsidP="00D07E2E">
                  <w:pPr>
                    <w:spacing w:after="0" w:line="240" w:lineRule="auto"/>
                    <w:ind w:left="60"/>
                    <w:jc w:val="both"/>
                    <w:rPr>
                      <w:rFonts w:ascii="Verdana" w:eastAsia="Times New Roman" w:hAnsi="Verdana" w:cs="Times New Roman"/>
                      <w:color w:val="000000"/>
                      <w:sz w:val="24"/>
                      <w:szCs w:val="24"/>
                      <w:lang w:eastAsia="es-MX"/>
                    </w:rPr>
                  </w:pPr>
                  <w:r w:rsidRPr="00FF546C">
                    <w:rPr>
                      <w:rFonts w:ascii="Verdana" w:eastAsia="Times New Roman" w:hAnsi="Verdana" w:cs="Times New Roman"/>
                      <w:noProof/>
                      <w:color w:val="000000"/>
                      <w:sz w:val="24"/>
                      <w:szCs w:val="24"/>
                      <w:lang w:eastAsia="es-MX"/>
                    </w:rPr>
                    <w:drawing>
                      <wp:inline distT="0" distB="0" distL="0" distR="0" wp14:anchorId="6E580D79" wp14:editId="4309CA73">
                        <wp:extent cx="99695" cy="99695"/>
                        <wp:effectExtent l="0" t="0" r="0" b="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rsidR="00A86DBD" w:rsidRPr="00FF546C" w:rsidRDefault="00A86DBD" w:rsidP="00D07E2E">
                  <w:pPr>
                    <w:spacing w:after="0" w:line="240" w:lineRule="auto"/>
                    <w:ind w:left="60"/>
                    <w:rPr>
                      <w:rFonts w:ascii="Verdana" w:eastAsia="Times New Roman" w:hAnsi="Verdana" w:cs="Times New Roman"/>
                      <w:color w:val="000000"/>
                      <w:sz w:val="24"/>
                      <w:szCs w:val="24"/>
                      <w:lang w:eastAsia="es-MX"/>
                    </w:rPr>
                  </w:pPr>
                  <w:r w:rsidRPr="00FF546C">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A86DBD" w:rsidRPr="00FF546C" w:rsidRDefault="00A86DBD" w:rsidP="00D07E2E">
            <w:pPr>
              <w:spacing w:after="0" w:line="240" w:lineRule="auto"/>
              <w:ind w:left="60"/>
              <w:jc w:val="both"/>
              <w:rPr>
                <w:rFonts w:ascii="Verdana" w:eastAsia="Times New Roman" w:hAnsi="Verdana" w:cs="Times New Roman"/>
                <w:color w:val="000000"/>
                <w:sz w:val="24"/>
                <w:szCs w:val="24"/>
                <w:lang w:eastAsia="es-MX"/>
              </w:rPr>
            </w:pPr>
          </w:p>
        </w:tc>
      </w:tr>
    </w:tbl>
    <w:p w:rsidR="00A86DBD" w:rsidRDefault="00A86DBD" w:rsidP="00A86DBD">
      <w:pPr>
        <w:rPr>
          <w:rFonts w:ascii="Times New Roman" w:hAnsi="Times New Roman" w:cs="Times New Roman"/>
          <w:sz w:val="28"/>
          <w:szCs w:val="24"/>
        </w:rPr>
      </w:pPr>
    </w:p>
    <w:p w:rsidR="00A86DBD" w:rsidRDefault="00A86DBD" w:rsidP="00A86DBD">
      <w:pPr>
        <w:rPr>
          <w:rFonts w:ascii="Times New Roman" w:hAnsi="Times New Roman" w:cs="Times New Roman"/>
          <w:sz w:val="28"/>
          <w:szCs w:val="24"/>
        </w:rPr>
      </w:pPr>
    </w:p>
    <w:p w:rsidR="00A86DBD" w:rsidRDefault="00A86DBD" w:rsidP="00A86DBD">
      <w:pPr>
        <w:rPr>
          <w:rFonts w:ascii="Times New Roman" w:hAnsi="Times New Roman" w:cs="Times New Roman"/>
          <w:sz w:val="28"/>
          <w:szCs w:val="24"/>
        </w:rPr>
      </w:pPr>
    </w:p>
    <w:p w:rsidR="00A86DBD" w:rsidRDefault="00A86DBD" w:rsidP="00A86DBD">
      <w:pPr>
        <w:rPr>
          <w:rFonts w:ascii="Times New Roman" w:hAnsi="Times New Roman" w:cs="Times New Roman"/>
          <w:sz w:val="28"/>
          <w:szCs w:val="24"/>
        </w:rPr>
      </w:pPr>
    </w:p>
    <w:p w:rsidR="00A86DBD" w:rsidRPr="00C724EF" w:rsidRDefault="00A86DBD" w:rsidP="00C724EF">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 xml:space="preserve">Saltillo, Coahuila                                          </w:t>
      </w:r>
      <w:r>
        <w:rPr>
          <w:rFonts w:ascii="Times New Roman" w:hAnsi="Times New Roman" w:cs="Times New Roman"/>
          <w:b/>
          <w:sz w:val="28"/>
          <w:szCs w:val="24"/>
        </w:rPr>
        <w:t xml:space="preserve">                              26</w:t>
      </w:r>
      <w:r>
        <w:rPr>
          <w:rFonts w:ascii="Times New Roman" w:hAnsi="Times New Roman" w:cs="Times New Roman"/>
          <w:b/>
          <w:sz w:val="28"/>
          <w:szCs w:val="24"/>
        </w:rPr>
        <w:t>/05/2021</w:t>
      </w:r>
    </w:p>
    <w:p w:rsidR="00A86DBD" w:rsidRPr="00C724EF" w:rsidRDefault="00C122F2" w:rsidP="00C724EF">
      <w:pPr>
        <w:pStyle w:val="Ttulo2"/>
        <w:shd w:val="clear" w:color="auto" w:fill="FFFFFF"/>
        <w:spacing w:before="0" w:line="360" w:lineRule="auto"/>
        <w:jc w:val="both"/>
        <w:rPr>
          <w:rFonts w:ascii="Times New Roman" w:hAnsi="Times New Roman" w:cs="Times New Roman"/>
          <w:bCs/>
          <w:color w:val="auto"/>
          <w:sz w:val="24"/>
          <w:szCs w:val="24"/>
        </w:rPr>
      </w:pPr>
      <w:r w:rsidRPr="00C724EF">
        <w:rPr>
          <w:rFonts w:ascii="Times New Roman" w:hAnsi="Times New Roman" w:cs="Times New Roman"/>
          <w:iCs/>
          <w:color w:val="auto"/>
          <w:sz w:val="24"/>
          <w:szCs w:val="24"/>
        </w:rPr>
        <w:lastRenderedPageBreak/>
        <w:t xml:space="preserve">En la unidad </w:t>
      </w:r>
      <w:r w:rsidR="00C724EF" w:rsidRPr="00C724EF">
        <w:rPr>
          <w:rFonts w:ascii="Times New Roman" w:hAnsi="Times New Roman" w:cs="Times New Roman"/>
          <w:iCs/>
          <w:color w:val="auto"/>
          <w:sz w:val="24"/>
          <w:szCs w:val="24"/>
        </w:rPr>
        <w:t>2 La</w:t>
      </w:r>
      <w:r w:rsidR="00A86DBD" w:rsidRPr="00C724EF">
        <w:rPr>
          <w:rFonts w:ascii="Times New Roman" w:hAnsi="Times New Roman" w:cs="Times New Roman"/>
          <w:color w:val="auto"/>
          <w:sz w:val="24"/>
          <w:szCs w:val="24"/>
        </w:rPr>
        <w:t xml:space="preserve"> educación conservadora y la progresiva</w:t>
      </w:r>
      <w:r w:rsidRPr="00C724EF">
        <w:rPr>
          <w:rFonts w:ascii="Times New Roman" w:hAnsi="Times New Roman" w:cs="Times New Roman"/>
          <w:color w:val="auto"/>
          <w:sz w:val="24"/>
          <w:szCs w:val="24"/>
        </w:rPr>
        <w:t xml:space="preserve"> fue vista y entendida con ayuda </w:t>
      </w:r>
      <w:r w:rsidR="00C724EF" w:rsidRPr="00C724EF">
        <w:rPr>
          <w:rFonts w:ascii="Times New Roman" w:hAnsi="Times New Roman" w:cs="Times New Roman"/>
          <w:color w:val="auto"/>
          <w:sz w:val="24"/>
          <w:szCs w:val="24"/>
        </w:rPr>
        <w:t>de Dewey</w:t>
      </w:r>
      <w:r w:rsidRPr="00C724EF">
        <w:rPr>
          <w:rFonts w:ascii="Times New Roman" w:eastAsiaTheme="minorHAnsi" w:hAnsi="Times New Roman" w:cs="Times New Roman"/>
          <w:color w:val="auto"/>
          <w:sz w:val="24"/>
          <w:szCs w:val="24"/>
        </w:rPr>
        <w:t xml:space="preserve"> </w:t>
      </w:r>
      <w:r w:rsidR="00C724EF" w:rsidRPr="00C724EF">
        <w:rPr>
          <w:rFonts w:ascii="Times New Roman" w:eastAsiaTheme="minorHAnsi" w:hAnsi="Times New Roman" w:cs="Times New Roman"/>
          <w:color w:val="auto"/>
          <w:sz w:val="24"/>
          <w:szCs w:val="24"/>
        </w:rPr>
        <w:t>quien proponía</w:t>
      </w:r>
      <w:r w:rsidR="00A86DBD" w:rsidRPr="00C724EF">
        <w:rPr>
          <w:rFonts w:ascii="Times New Roman" w:eastAsiaTheme="minorHAnsi" w:hAnsi="Times New Roman" w:cs="Times New Roman"/>
          <w:color w:val="auto"/>
          <w:sz w:val="24"/>
          <w:szCs w:val="24"/>
        </w:rPr>
        <w:t xml:space="preserve"> una enseñanza reflexiva, la pedagogía progresista se denomina como escuela nueva o nueva educación, en esta pedagogía no existe alguna forma educativa que se considere definitiva</w:t>
      </w:r>
      <w:r w:rsidRPr="00C724EF">
        <w:rPr>
          <w:rFonts w:ascii="Times New Roman" w:eastAsiaTheme="minorHAnsi" w:hAnsi="Times New Roman" w:cs="Times New Roman"/>
          <w:color w:val="auto"/>
          <w:sz w:val="24"/>
          <w:szCs w:val="24"/>
        </w:rPr>
        <w:t xml:space="preserve">, al igual que </w:t>
      </w:r>
      <w:r w:rsidR="00A86DBD" w:rsidRPr="00C724EF">
        <w:rPr>
          <w:rFonts w:ascii="Times New Roman" w:eastAsiaTheme="minorHAnsi" w:hAnsi="Times New Roman" w:cs="Times New Roman"/>
          <w:color w:val="auto"/>
          <w:sz w:val="24"/>
          <w:szCs w:val="24"/>
        </w:rPr>
        <w:t>rechazaba junto con su pedagogía la propuesta la educación tradicional basándose en las normas disciplinarias rechazando todo el co</w:t>
      </w:r>
      <w:r w:rsidRPr="00C724EF">
        <w:rPr>
          <w:rFonts w:ascii="Times New Roman" w:eastAsiaTheme="minorHAnsi" w:hAnsi="Times New Roman" w:cs="Times New Roman"/>
          <w:bCs/>
          <w:color w:val="auto"/>
          <w:sz w:val="24"/>
          <w:szCs w:val="24"/>
        </w:rPr>
        <w:t>njunto de doctrinas pedagógicas.</w:t>
      </w:r>
      <w:r w:rsidR="00A86DBD" w:rsidRPr="00C724EF">
        <w:rPr>
          <w:rFonts w:ascii="Times New Roman" w:eastAsiaTheme="minorHAnsi" w:hAnsi="Times New Roman" w:cs="Times New Roman"/>
          <w:color w:val="auto"/>
          <w:sz w:val="24"/>
          <w:szCs w:val="24"/>
        </w:rPr>
        <w:t xml:space="preserve"> La educación es una constante reconstrucción de experiencias para lograr lo que se propone en los procesos sociales la educación debe ser relacionada con lo común lo de día a día con la comunidad y la comunicación.</w:t>
      </w:r>
    </w:p>
    <w:p w:rsidR="00A86DBD" w:rsidRPr="00C724EF" w:rsidRDefault="00A86DBD" w:rsidP="00C724EF">
      <w:pPr>
        <w:pStyle w:val="Ttulo3"/>
        <w:shd w:val="clear" w:color="auto" w:fill="FFFFFF"/>
        <w:spacing w:before="0" w:beforeAutospacing="0" w:after="90" w:afterAutospacing="0" w:line="360" w:lineRule="auto"/>
        <w:jc w:val="both"/>
        <w:rPr>
          <w:rFonts w:eastAsiaTheme="minorHAnsi"/>
          <w:b w:val="0"/>
          <w:bCs w:val="0"/>
          <w:sz w:val="24"/>
          <w:szCs w:val="24"/>
          <w:lang w:eastAsia="en-US"/>
        </w:rPr>
      </w:pPr>
      <w:r w:rsidRPr="00C724EF">
        <w:rPr>
          <w:rFonts w:eastAsiaTheme="minorHAnsi"/>
          <w:b w:val="0"/>
          <w:bCs w:val="0"/>
          <w:sz w:val="24"/>
          <w:szCs w:val="24"/>
          <w:lang w:eastAsia="en-US"/>
        </w:rPr>
        <w:t>La pedagogía progresista es una estructura conceptual de cada alumno qué parte de las ideas y preconceptos de los alumnos que traen sobre el tema es decir se apoya en sus ideas previas, para construir un nuevo concepto en situaciones más concretas y relacionarlos con otros en una estructura cognitiva.</w:t>
      </w:r>
    </w:p>
    <w:p w:rsidR="00A86DBD" w:rsidRPr="00C724EF" w:rsidRDefault="00C122F2" w:rsidP="00C724EF">
      <w:pPr>
        <w:pStyle w:val="Ttulo3"/>
        <w:shd w:val="clear" w:color="auto" w:fill="FFFFFF"/>
        <w:spacing w:before="0" w:beforeAutospacing="0" w:after="90" w:afterAutospacing="0" w:line="360" w:lineRule="auto"/>
        <w:jc w:val="both"/>
        <w:rPr>
          <w:b w:val="0"/>
          <w:bCs w:val="0"/>
          <w:sz w:val="24"/>
          <w:szCs w:val="24"/>
        </w:rPr>
      </w:pPr>
      <w:r w:rsidRPr="00C724EF">
        <w:rPr>
          <w:b w:val="0"/>
          <w:bCs w:val="0"/>
          <w:sz w:val="24"/>
          <w:szCs w:val="24"/>
        </w:rPr>
        <w:t>Y que en la e</w:t>
      </w:r>
      <w:r w:rsidR="00A86DBD" w:rsidRPr="00C724EF">
        <w:rPr>
          <w:b w:val="0"/>
          <w:bCs w:val="0"/>
          <w:sz w:val="24"/>
          <w:szCs w:val="24"/>
        </w:rPr>
        <w:t>ducación conservadora</w:t>
      </w:r>
      <w:r w:rsidRPr="00C724EF">
        <w:rPr>
          <w:b w:val="0"/>
          <w:bCs w:val="0"/>
          <w:sz w:val="24"/>
          <w:szCs w:val="24"/>
        </w:rPr>
        <w:t xml:space="preserve"> </w:t>
      </w:r>
      <w:r w:rsidR="00A86DBD" w:rsidRPr="00C724EF">
        <w:rPr>
          <w:b w:val="0"/>
          <w:sz w:val="24"/>
          <w:szCs w:val="24"/>
        </w:rPr>
        <w:t>Dewey en su pedagogía rechaza la propuesta de la educación tradicional, basándose en normas disciplinarias y contrapone con una educación progresista. Rechaza todo ese conjunto de doctrinas pedagógicas.</w:t>
      </w:r>
    </w:p>
    <w:p w:rsidR="00A86DBD" w:rsidRPr="00C724EF" w:rsidRDefault="00A86DBD" w:rsidP="00C724EF">
      <w:pPr>
        <w:pStyle w:val="transcripttextparagraph-sc-1jllhx4-1"/>
        <w:shd w:val="clear" w:color="auto" w:fill="FFFFFF"/>
        <w:spacing w:after="300" w:line="360" w:lineRule="auto"/>
        <w:jc w:val="both"/>
        <w:rPr>
          <w:b/>
        </w:rPr>
      </w:pPr>
      <w:r w:rsidRPr="00C724EF">
        <w:t>La educación liberadora en Freire.</w:t>
      </w:r>
      <w:r w:rsidR="00C122F2" w:rsidRPr="00C724EF">
        <w:t xml:space="preserve"> </w:t>
      </w:r>
      <w:r w:rsidRPr="00C724EF">
        <w:t>"Educación es sólo una narración donde los educandos permanecen estáticos y el educador sólo llena a los educandos con sus contenidos de su narración" la pedagogía del oprimido - Paulo ferré (1968) la educación es como un proceso en el que se va depositando contenidos en la mente del estudiante el educador es el que conduce al estudiante a memorizar de manera mecánica ciertos contenidos no se comunica con los alumnos simplemente es un mecanismo de copiar y pegar.</w:t>
      </w:r>
    </w:p>
    <w:p w:rsidR="00A86DBD" w:rsidRPr="00C724EF" w:rsidRDefault="00A86DBD" w:rsidP="00C724EF">
      <w:pPr>
        <w:spacing w:line="360" w:lineRule="auto"/>
        <w:jc w:val="both"/>
        <w:rPr>
          <w:rFonts w:ascii="Times New Roman" w:eastAsia="Times New Roman" w:hAnsi="Times New Roman" w:cs="Times New Roman"/>
          <w:sz w:val="24"/>
          <w:szCs w:val="24"/>
          <w:lang w:eastAsia="es-MX"/>
        </w:rPr>
      </w:pPr>
      <w:r w:rsidRPr="00C724EF">
        <w:rPr>
          <w:rFonts w:ascii="Times New Roman" w:eastAsia="Times New Roman" w:hAnsi="Times New Roman" w:cs="Times New Roman"/>
          <w:sz w:val="24"/>
          <w:szCs w:val="24"/>
          <w:lang w:eastAsia="es-MX"/>
        </w:rPr>
        <w:t>De las características más sobresalientes es que el educador es el que educa y el educado es el que se educa. El educador es quien sabe y los educados quienes no, el educador es quien piensa el sujeto de procesos los educados son los objetos pensados, el educador es quien habla los educandos quienes escuchan dócilmente el educador es quien disciplina los educados quiénes son designados.</w:t>
      </w:r>
    </w:p>
    <w:p w:rsidR="00A86DBD" w:rsidRPr="00C724EF" w:rsidRDefault="00A86DBD" w:rsidP="00C724EF">
      <w:pPr>
        <w:spacing w:line="360" w:lineRule="auto"/>
        <w:jc w:val="both"/>
        <w:rPr>
          <w:rFonts w:ascii="Times New Roman" w:hAnsi="Times New Roman" w:cs="Times New Roman"/>
          <w:b/>
          <w:sz w:val="24"/>
          <w:szCs w:val="24"/>
        </w:rPr>
      </w:pPr>
      <w:r w:rsidRPr="00C724EF">
        <w:rPr>
          <w:rFonts w:ascii="Times New Roman" w:eastAsia="Times New Roman" w:hAnsi="Times New Roman" w:cs="Times New Roman"/>
          <w:sz w:val="24"/>
          <w:szCs w:val="24"/>
          <w:lang w:eastAsia="es-MX"/>
        </w:rPr>
        <w:t>La pedagogía bancaria fomentar y desarrollar la pasividad e ingeniería con el propósito de moldear los y adaptarlos para convertirse en simples objetos.</w:t>
      </w:r>
    </w:p>
    <w:p w:rsidR="00C122F2" w:rsidRPr="00C724EF" w:rsidRDefault="00C122F2" w:rsidP="00C724EF">
      <w:pPr>
        <w:spacing w:line="360" w:lineRule="auto"/>
        <w:jc w:val="both"/>
        <w:rPr>
          <w:rFonts w:ascii="Times New Roman" w:hAnsi="Times New Roman" w:cs="Times New Roman"/>
          <w:b/>
          <w:iCs/>
          <w:sz w:val="24"/>
          <w:szCs w:val="24"/>
        </w:rPr>
      </w:pPr>
      <w:r w:rsidRPr="00C724EF">
        <w:rPr>
          <w:rFonts w:ascii="Times New Roman" w:hAnsi="Times New Roman" w:cs="Times New Roman"/>
          <w:iCs/>
          <w:sz w:val="24"/>
          <w:szCs w:val="24"/>
        </w:rPr>
        <w:lastRenderedPageBreak/>
        <w:t>La educación para el mantenimiento de las estructuras o para el cambio social.</w:t>
      </w:r>
      <w:r w:rsidRPr="00C724EF">
        <w:rPr>
          <w:rFonts w:ascii="Times New Roman" w:hAnsi="Times New Roman" w:cs="Times New Roman"/>
          <w:iCs/>
          <w:sz w:val="24"/>
          <w:szCs w:val="24"/>
        </w:rPr>
        <w:t xml:space="preserve"> </w:t>
      </w:r>
      <w:r w:rsidRPr="00C724EF">
        <w:rPr>
          <w:rFonts w:ascii="Times New Roman" w:hAnsi="Times New Roman" w:cs="Times New Roman"/>
          <w:sz w:val="24"/>
          <w:szCs w:val="24"/>
        </w:rPr>
        <w:t xml:space="preserve">Nos encontramos en un nuevo escenario social que </w:t>
      </w:r>
      <w:r w:rsidRPr="00C724EF">
        <w:rPr>
          <w:rFonts w:ascii="Times New Roman" w:hAnsi="Times New Roman" w:cs="Times New Roman"/>
          <w:sz w:val="24"/>
          <w:szCs w:val="24"/>
          <w:shd w:val="clear" w:color="auto" w:fill="FFFFFF"/>
        </w:rPr>
        <w:t>no puede dejar de ser o faltar</w:t>
      </w:r>
      <w:r w:rsidRPr="00C724EF">
        <w:rPr>
          <w:rFonts w:ascii="Times New Roman" w:hAnsi="Times New Roman" w:cs="Times New Roman"/>
          <w:sz w:val="24"/>
          <w:szCs w:val="24"/>
        </w:rPr>
        <w:t xml:space="preserve"> debe llevar consigo la aparición de un nuevo tipo de escuela capaz de abandonar sus antiguas técnicas y metodologías en su adecuación a la realidad social donde se encuentra toda la atención aquí.</w:t>
      </w:r>
      <w:r w:rsidR="00C724EF" w:rsidRPr="00C724EF">
        <w:rPr>
          <w:rFonts w:ascii="Times New Roman" w:hAnsi="Times New Roman" w:cs="Times New Roman"/>
          <w:sz w:val="24"/>
          <w:szCs w:val="24"/>
        </w:rPr>
        <w:t xml:space="preserve"> </w:t>
      </w:r>
      <w:r w:rsidRPr="00C724EF">
        <w:rPr>
          <w:rFonts w:ascii="Times New Roman" w:hAnsi="Times New Roman" w:cs="Times New Roman"/>
          <w:sz w:val="24"/>
          <w:szCs w:val="24"/>
        </w:rPr>
        <w:t>Frente a una escuela excluyente, es necesaria una nueva escuela inclusiva creada por y para todos y todas, con nuevos saberes, metodologías y formas de aprender, democrática en sus fines y medios y donde agentes educativos como el alumnado, hasta el momento poco considerado en los procesos de enseñanza-aprendizaje, vean cómo su voz es escuchada con la misma atención que la de otros sectores.</w:t>
      </w:r>
      <w:r w:rsidR="00C724EF" w:rsidRPr="00C724EF">
        <w:rPr>
          <w:rFonts w:ascii="Times New Roman" w:hAnsi="Times New Roman" w:cs="Times New Roman"/>
          <w:sz w:val="24"/>
          <w:szCs w:val="24"/>
        </w:rPr>
        <w:t xml:space="preserve"> </w:t>
      </w:r>
      <w:r w:rsidRPr="00C724EF">
        <w:rPr>
          <w:rFonts w:ascii="Times New Roman" w:hAnsi="Times New Roman" w:cs="Times New Roman"/>
          <w:sz w:val="24"/>
          <w:szCs w:val="24"/>
        </w:rPr>
        <w:t>Esta nueva escuela tiene su reflejo en numerosos ejemplos que, con mayor o menor éxito, ejemplos que ponen sobre la mesa buenas prácticas educativas, que resaltan las oportunidades que brinda la educación y la necesidad de invertir y repensarla para construir un mundo mejor. Repensar la escuela se convierte de este modo en una exigencia para todos aquellos y aquellas inmersos en el mundo educativo, quienes, a pesar de las graves amenazas que se ciernen sobre ella, seguimos considerándola el mejor instrumento para conseguir sociedades cada vez más justas e igualitarias.</w:t>
      </w:r>
    </w:p>
    <w:p w:rsidR="00C122F2" w:rsidRPr="00C724EF" w:rsidRDefault="00C122F2" w:rsidP="00C724EF">
      <w:pPr>
        <w:pStyle w:val="NormalWeb"/>
        <w:shd w:val="clear" w:color="auto" w:fill="FFFFFF"/>
        <w:spacing w:line="360" w:lineRule="auto"/>
        <w:jc w:val="both"/>
        <w:rPr>
          <w:shd w:val="clear" w:color="auto" w:fill="FFFFFF"/>
        </w:rPr>
      </w:pPr>
      <w:r w:rsidRPr="00C724EF">
        <w:rPr>
          <w:shd w:val="clear" w:color="auto" w:fill="FFFFFF"/>
        </w:rPr>
        <w:t>Experimentar otras </w:t>
      </w:r>
      <w:r w:rsidRPr="00C724EF">
        <w:rPr>
          <w:bCs/>
          <w:shd w:val="clear" w:color="auto" w:fill="FFFFFF"/>
        </w:rPr>
        <w:t>culturas</w:t>
      </w:r>
      <w:r w:rsidRPr="00C724EF">
        <w:rPr>
          <w:shd w:val="clear" w:color="auto" w:fill="FFFFFF"/>
        </w:rPr>
        <w:t> promueve la tolerancia, la apreciación de la vida y oportunidades para explorar comidas y música, tratar con otras </w:t>
      </w:r>
      <w:r w:rsidRPr="00C724EF">
        <w:rPr>
          <w:bCs/>
          <w:shd w:val="clear" w:color="auto" w:fill="FFFFFF"/>
        </w:rPr>
        <w:t>culturas</w:t>
      </w:r>
      <w:r w:rsidRPr="00C724EF">
        <w:rPr>
          <w:shd w:val="clear" w:color="auto" w:fill="FFFFFF"/>
        </w:rPr>
        <w:t> enseña tolerancia, el convivir con personas </w:t>
      </w:r>
      <w:r w:rsidRPr="00C724EF">
        <w:rPr>
          <w:bCs/>
          <w:shd w:val="clear" w:color="auto" w:fill="FFFFFF"/>
        </w:rPr>
        <w:t>diferentes</w:t>
      </w:r>
      <w:r w:rsidRPr="00C724EF">
        <w:rPr>
          <w:shd w:val="clear" w:color="auto" w:fill="FFFFFF"/>
        </w:rPr>
        <w:t> de nosotros, para encontrar la manera de acercarnos unos a otros. La diversidad cultural está de moda, no paramos de oír hablar de sus </w:t>
      </w:r>
      <w:r w:rsidRPr="00C724EF">
        <w:rPr>
          <w:bCs/>
          <w:shd w:val="clear" w:color="auto" w:fill="FFFFFF"/>
        </w:rPr>
        <w:t>ventajas</w:t>
      </w:r>
      <w:r w:rsidRPr="00C724EF">
        <w:rPr>
          <w:shd w:val="clear" w:color="auto" w:fill="FFFFFF"/>
        </w:rPr>
        <w:t>. Y es cierto: un equipo multicultural tiene </w:t>
      </w:r>
      <w:r w:rsidRPr="00C724EF">
        <w:rPr>
          <w:bCs/>
          <w:shd w:val="clear" w:color="auto" w:fill="FFFFFF"/>
        </w:rPr>
        <w:t>ventajas</w:t>
      </w:r>
      <w:r w:rsidRPr="00C724EF">
        <w:rPr>
          <w:shd w:val="clear" w:color="auto" w:fill="FFFFFF"/>
        </w:rPr>
        <w:t> ¡y </w:t>
      </w:r>
      <w:r w:rsidRPr="00C724EF">
        <w:rPr>
          <w:bCs/>
          <w:shd w:val="clear" w:color="auto" w:fill="FFFFFF"/>
        </w:rPr>
        <w:t>muchas</w:t>
      </w:r>
      <w:r w:rsidRPr="00C724EF">
        <w:rPr>
          <w:shd w:val="clear" w:color="auto" w:fill="FFFFFF"/>
        </w:rPr>
        <w:t>! En las condiciones adecuadas, puede ser más creativo, más productivo y más efectivo a la hora de solucionar problemas (hasta los más complejos y difíciles de resolver).</w:t>
      </w:r>
    </w:p>
    <w:p w:rsidR="00C122F2" w:rsidRPr="00C724EF" w:rsidRDefault="00C122F2" w:rsidP="00C724EF">
      <w:p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E</w:t>
      </w:r>
      <w:r w:rsidRPr="00C724EF">
        <w:rPr>
          <w:rFonts w:ascii="Times New Roman" w:hAnsi="Times New Roman" w:cs="Times New Roman"/>
          <w:sz w:val="24"/>
          <w:szCs w:val="24"/>
          <w:lang w:val="es-ES"/>
        </w:rPr>
        <w:t>s necesario 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p>
    <w:p w:rsidR="00C122F2" w:rsidRPr="00C724EF" w:rsidRDefault="00C122F2" w:rsidP="00C724EF">
      <w:p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Hay que tener en cuenta que los valores, para que cumplan su objetivo, deben ser valores compartidos. Esto permitirá un mayor sentido de coherencia, cohesión y un propósito para toda la organización.</w:t>
      </w:r>
    </w:p>
    <w:p w:rsidR="00C122F2" w:rsidRPr="00C724EF" w:rsidRDefault="00C122F2" w:rsidP="00C724EF">
      <w:p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lastRenderedPageBreak/>
        <w:t xml:space="preserve">En general, la cultura organizacional tiene un gran efecto sobre el comportamiento de sus miembros. </w:t>
      </w:r>
    </w:p>
    <w:p w:rsidR="00C122F2" w:rsidRPr="00C724EF" w:rsidRDefault="00C122F2" w:rsidP="00C724EF">
      <w:p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La gestión del cambio es el proceso mediante el cual se gestiona la transición a una nueva realidad. Esta gestión procura convencer y persuadir a los miembros a que logren trabajar en un nuevo contexto que traerá buenos resultados a la organización. Sin embargo, no es tan sencillo cambiar la cultura y los objetivos</w:t>
      </w:r>
    </w:p>
    <w:p w:rsidR="00C122F2" w:rsidRPr="00C724EF" w:rsidRDefault="00C724EF" w:rsidP="00C724E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C724EF">
        <w:rPr>
          <w:rFonts w:ascii="Times New Roman" w:hAnsi="Times New Roman" w:cs="Times New Roman"/>
          <w:sz w:val="24"/>
          <w:szCs w:val="24"/>
          <w:lang w:val="es-ES"/>
        </w:rPr>
        <w:t xml:space="preserve">o que se requiere para lograrlos es: </w:t>
      </w:r>
    </w:p>
    <w:p w:rsidR="00C122F2" w:rsidRPr="00C724EF" w:rsidRDefault="00C122F2" w:rsidP="00C724EF">
      <w:pPr>
        <w:pStyle w:val="Prrafodelista"/>
        <w:numPr>
          <w:ilvl w:val="0"/>
          <w:numId w:val="8"/>
        </w:num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Crear un sentido de urgencia.</w:t>
      </w:r>
    </w:p>
    <w:p w:rsidR="00C122F2" w:rsidRPr="00C724EF" w:rsidRDefault="00C122F2" w:rsidP="00C724EF">
      <w:pPr>
        <w:pStyle w:val="Prrafodelista"/>
        <w:numPr>
          <w:ilvl w:val="0"/>
          <w:numId w:val="8"/>
        </w:num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Formación de equipo de cambio.</w:t>
      </w:r>
    </w:p>
    <w:p w:rsidR="00C122F2" w:rsidRPr="00C724EF" w:rsidRDefault="00C122F2" w:rsidP="00C724EF">
      <w:pPr>
        <w:pStyle w:val="Prrafodelista"/>
        <w:numPr>
          <w:ilvl w:val="0"/>
          <w:numId w:val="8"/>
        </w:num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Crear una visión clara para el cambio.</w:t>
      </w:r>
    </w:p>
    <w:p w:rsidR="00C122F2" w:rsidRPr="00C724EF" w:rsidRDefault="00C122F2" w:rsidP="00C724EF">
      <w:pPr>
        <w:pStyle w:val="Prrafodelista"/>
        <w:numPr>
          <w:ilvl w:val="0"/>
          <w:numId w:val="8"/>
        </w:num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Comunicar la visión.</w:t>
      </w:r>
    </w:p>
    <w:p w:rsidR="00C122F2" w:rsidRPr="00C724EF" w:rsidRDefault="00C122F2" w:rsidP="00C724EF">
      <w:pPr>
        <w:pStyle w:val="Prrafodelista"/>
        <w:numPr>
          <w:ilvl w:val="0"/>
          <w:numId w:val="8"/>
        </w:num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Eliminar obstáculos que se puedan presentar frente a la gestión del cambio que se está realizando.</w:t>
      </w:r>
    </w:p>
    <w:p w:rsidR="00C122F2" w:rsidRPr="00C724EF" w:rsidRDefault="00C122F2" w:rsidP="00C724EF">
      <w:pPr>
        <w:pStyle w:val="Prrafodelista"/>
        <w:numPr>
          <w:ilvl w:val="0"/>
          <w:numId w:val="8"/>
        </w:num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Asegurarse de triunfos a corto plazo.</w:t>
      </w:r>
    </w:p>
    <w:p w:rsidR="00C122F2" w:rsidRPr="00C724EF" w:rsidRDefault="00C122F2" w:rsidP="00C724EF">
      <w:pPr>
        <w:pStyle w:val="Prrafodelista"/>
        <w:numPr>
          <w:ilvl w:val="0"/>
          <w:numId w:val="8"/>
        </w:num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Construir sobre el cambio.</w:t>
      </w:r>
    </w:p>
    <w:p w:rsidR="00C122F2" w:rsidRPr="00C724EF" w:rsidRDefault="00C122F2" w:rsidP="00C724EF">
      <w:pPr>
        <w:pStyle w:val="Prrafodelista"/>
        <w:numPr>
          <w:ilvl w:val="0"/>
          <w:numId w:val="8"/>
        </w:num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Implementar los cambios en la cultura organizacional.</w:t>
      </w:r>
    </w:p>
    <w:p w:rsidR="00A86DBD" w:rsidRPr="00C724EF" w:rsidRDefault="00A86DBD" w:rsidP="00C122F2">
      <w:pPr>
        <w:spacing w:line="360" w:lineRule="auto"/>
        <w:rPr>
          <w:rFonts w:ascii="Times New Roman" w:hAnsi="Times New Roman" w:cs="Times New Roman"/>
          <w:b/>
          <w:sz w:val="24"/>
          <w:szCs w:val="24"/>
        </w:rPr>
      </w:pPr>
    </w:p>
    <w:p w:rsidR="00C122F2" w:rsidRPr="00C724EF" w:rsidRDefault="00C122F2" w:rsidP="00C122F2">
      <w:pPr>
        <w:spacing w:line="360" w:lineRule="auto"/>
        <w:rPr>
          <w:rFonts w:ascii="Times New Roman" w:hAnsi="Times New Roman" w:cs="Times New Roman"/>
          <w:b/>
          <w:sz w:val="24"/>
          <w:szCs w:val="24"/>
        </w:rPr>
      </w:pPr>
    </w:p>
    <w:p w:rsidR="00C122F2" w:rsidRDefault="00C122F2" w:rsidP="00C122F2">
      <w:pPr>
        <w:spacing w:line="360" w:lineRule="auto"/>
        <w:rPr>
          <w:rFonts w:ascii="Times New Roman" w:hAnsi="Times New Roman" w:cs="Times New Roman"/>
          <w:b/>
          <w:color w:val="000000" w:themeColor="text1"/>
          <w:sz w:val="24"/>
          <w:szCs w:val="24"/>
        </w:rPr>
      </w:pPr>
    </w:p>
    <w:p w:rsidR="00C122F2" w:rsidRDefault="00C122F2" w:rsidP="00C122F2">
      <w:pPr>
        <w:spacing w:line="360" w:lineRule="auto"/>
        <w:rPr>
          <w:rFonts w:ascii="Times New Roman" w:hAnsi="Times New Roman" w:cs="Times New Roman"/>
          <w:b/>
          <w:color w:val="000000" w:themeColor="text1"/>
          <w:sz w:val="24"/>
          <w:szCs w:val="24"/>
        </w:rPr>
      </w:pPr>
    </w:p>
    <w:p w:rsidR="00C122F2" w:rsidRDefault="00C122F2" w:rsidP="00C122F2">
      <w:pPr>
        <w:spacing w:line="360" w:lineRule="auto"/>
        <w:rPr>
          <w:rFonts w:ascii="Times New Roman" w:hAnsi="Times New Roman" w:cs="Times New Roman"/>
          <w:b/>
          <w:color w:val="000000" w:themeColor="text1"/>
          <w:sz w:val="24"/>
          <w:szCs w:val="24"/>
        </w:rPr>
      </w:pPr>
    </w:p>
    <w:p w:rsidR="00C122F2" w:rsidRDefault="00C122F2" w:rsidP="00C122F2">
      <w:pPr>
        <w:spacing w:line="360" w:lineRule="auto"/>
        <w:rPr>
          <w:rFonts w:ascii="Times New Roman" w:hAnsi="Times New Roman" w:cs="Times New Roman"/>
          <w:b/>
          <w:color w:val="000000" w:themeColor="text1"/>
          <w:sz w:val="24"/>
          <w:szCs w:val="24"/>
        </w:rPr>
      </w:pPr>
    </w:p>
    <w:p w:rsidR="00C122F2" w:rsidRDefault="00C122F2" w:rsidP="00C122F2">
      <w:pPr>
        <w:spacing w:line="360" w:lineRule="auto"/>
        <w:rPr>
          <w:rFonts w:ascii="Times New Roman" w:hAnsi="Times New Roman" w:cs="Times New Roman"/>
          <w:b/>
          <w:color w:val="000000" w:themeColor="text1"/>
          <w:sz w:val="24"/>
          <w:szCs w:val="24"/>
        </w:rPr>
      </w:pPr>
    </w:p>
    <w:p w:rsidR="00C122F2" w:rsidRDefault="00C122F2" w:rsidP="00C122F2">
      <w:pPr>
        <w:spacing w:line="360" w:lineRule="auto"/>
        <w:rPr>
          <w:rFonts w:ascii="Times New Roman" w:hAnsi="Times New Roman" w:cs="Times New Roman"/>
          <w:b/>
          <w:color w:val="000000" w:themeColor="text1"/>
          <w:sz w:val="24"/>
          <w:szCs w:val="24"/>
        </w:rPr>
      </w:pPr>
    </w:p>
    <w:p w:rsidR="00C122F2" w:rsidRDefault="00C122F2" w:rsidP="00C122F2">
      <w:pPr>
        <w:spacing w:line="360" w:lineRule="auto"/>
        <w:rPr>
          <w:rFonts w:ascii="Times New Roman" w:hAnsi="Times New Roman" w:cs="Times New Roman"/>
          <w:b/>
          <w:color w:val="000000" w:themeColor="text1"/>
          <w:sz w:val="24"/>
          <w:szCs w:val="24"/>
        </w:rPr>
      </w:pPr>
    </w:p>
    <w:p w:rsidR="00C122F2" w:rsidRDefault="00C122F2" w:rsidP="00C122F2">
      <w:pPr>
        <w:spacing w:line="360" w:lineRule="auto"/>
        <w:rPr>
          <w:rFonts w:ascii="Times New Roman" w:hAnsi="Times New Roman" w:cs="Times New Roman"/>
          <w:b/>
          <w:color w:val="000000" w:themeColor="text1"/>
          <w:sz w:val="24"/>
          <w:szCs w:val="24"/>
        </w:rPr>
      </w:pPr>
    </w:p>
    <w:p w:rsidR="00C122F2" w:rsidRPr="00C122F2" w:rsidRDefault="00C122F2" w:rsidP="00C122F2">
      <w:pPr>
        <w:spacing w:line="360" w:lineRule="auto"/>
        <w:rPr>
          <w:rFonts w:ascii="Times New Roman" w:hAnsi="Times New Roman" w:cs="Times New Roman"/>
          <w:b/>
          <w:color w:val="000000" w:themeColor="text1"/>
          <w:sz w:val="24"/>
          <w:szCs w:val="24"/>
        </w:rPr>
      </w:pPr>
    </w:p>
    <w:p w:rsidR="00A86DBD" w:rsidRPr="00C122F2" w:rsidRDefault="00A86DBD" w:rsidP="00C122F2">
      <w:pPr>
        <w:spacing w:line="360" w:lineRule="auto"/>
        <w:rPr>
          <w:rFonts w:ascii="Times New Roman" w:hAnsi="Times New Roman" w:cs="Times New Roman"/>
          <w:b/>
          <w:color w:val="000000" w:themeColor="text1"/>
          <w:sz w:val="24"/>
          <w:szCs w:val="24"/>
        </w:rPr>
      </w:pPr>
    </w:p>
    <w:p w:rsidR="00A86DBD" w:rsidRPr="00C122F2" w:rsidRDefault="00A86DBD" w:rsidP="00C122F2">
      <w:pPr>
        <w:spacing w:line="360" w:lineRule="auto"/>
        <w:rPr>
          <w:rFonts w:ascii="Times New Roman" w:hAnsi="Times New Roman" w:cs="Times New Roman"/>
          <w:b/>
          <w:color w:val="000000" w:themeColor="text1"/>
          <w:sz w:val="24"/>
          <w:szCs w:val="24"/>
        </w:rPr>
      </w:pPr>
      <w:r w:rsidRPr="00C122F2">
        <w:rPr>
          <w:rFonts w:ascii="Times New Roman" w:hAnsi="Times New Roman" w:cs="Times New Roman"/>
          <w:b/>
          <w:color w:val="000000" w:themeColor="text1"/>
          <w:sz w:val="24"/>
          <w:szCs w:val="24"/>
        </w:rPr>
        <w:t>Bibliografía:</w:t>
      </w:r>
    </w:p>
    <w:p w:rsidR="00A86DBD" w:rsidRPr="00C122F2" w:rsidRDefault="00A86DBD" w:rsidP="00C122F2">
      <w:pPr>
        <w:spacing w:line="360" w:lineRule="auto"/>
        <w:rPr>
          <w:rFonts w:ascii="Times New Roman" w:hAnsi="Times New Roman" w:cs="Times New Roman"/>
          <w:b/>
          <w:color w:val="000000" w:themeColor="text1"/>
          <w:sz w:val="24"/>
          <w:szCs w:val="24"/>
        </w:rPr>
      </w:pPr>
    </w:p>
    <w:p w:rsidR="00A86DBD" w:rsidRPr="00C122F2" w:rsidRDefault="00A86DBD" w:rsidP="00C122F2">
      <w:pPr>
        <w:pStyle w:val="Prrafodelista"/>
        <w:numPr>
          <w:ilvl w:val="0"/>
          <w:numId w:val="6"/>
        </w:numPr>
        <w:spacing w:line="360" w:lineRule="auto"/>
        <w:rPr>
          <w:rFonts w:ascii="Times New Roman" w:hAnsi="Times New Roman" w:cs="Times New Roman"/>
          <w:color w:val="000000" w:themeColor="text1"/>
          <w:sz w:val="24"/>
          <w:szCs w:val="24"/>
        </w:rPr>
      </w:pPr>
      <w:r w:rsidRPr="00C122F2">
        <w:rPr>
          <w:rFonts w:ascii="Times New Roman" w:hAnsi="Times New Roman" w:cs="Times New Roman"/>
          <w:color w:val="000000"/>
          <w:sz w:val="24"/>
          <w:szCs w:val="24"/>
        </w:rPr>
        <w:t xml:space="preserve">Pao García. (2017). LA EDUCACIÓN CONSERVADORA Y LA PROGRESIVA. 20/04/2021, de Prezi Sitio web: </w:t>
      </w:r>
      <w:hyperlink r:id="rId9" w:anchor=":~:text=Dewey%20pretendi%C3%B3%20una%20modernizaci%C3%B3n%20de,donde%20propone%20la%20ense%C3%B1anza%20reflexiva.&amp;text=En%20una%20educaci%C3%B3n%20conservadora%20los,por%20un%20manto%20de%20santidad" w:history="1">
        <w:r w:rsidRPr="00C122F2">
          <w:rPr>
            <w:rStyle w:val="Hipervnculo"/>
            <w:rFonts w:ascii="Times New Roman" w:hAnsi="Times New Roman" w:cs="Times New Roman"/>
            <w:sz w:val="24"/>
            <w:szCs w:val="24"/>
          </w:rPr>
          <w:t>https://prezi.com/alokmuooivtc/la-educacion-conservadora-y-la-progresiva/#:~:text=Dewey%20pretendi%C3%B3%20una%20modernizaci%C3%B3n%20de,donde%20propone%20la%20ense%C3%B1anza%20reflexiva.&amp;text=En%20una%20educaci%C3%B3n%20conservadora%20los,por%20un%20manto%20de%20santidad</w:t>
        </w:r>
      </w:hyperlink>
      <w:r w:rsidRPr="00C122F2">
        <w:rPr>
          <w:rFonts w:ascii="Times New Roman" w:hAnsi="Times New Roman" w:cs="Times New Roman"/>
          <w:color w:val="000000"/>
          <w:sz w:val="24"/>
          <w:szCs w:val="24"/>
        </w:rPr>
        <w:t>.</w:t>
      </w:r>
    </w:p>
    <w:p w:rsidR="00A86DBD" w:rsidRPr="00C122F2" w:rsidRDefault="00A86DBD" w:rsidP="00C122F2">
      <w:pPr>
        <w:pStyle w:val="Prrafodelista"/>
        <w:numPr>
          <w:ilvl w:val="0"/>
          <w:numId w:val="6"/>
        </w:numPr>
        <w:spacing w:line="360" w:lineRule="auto"/>
        <w:rPr>
          <w:rFonts w:ascii="Times New Roman" w:hAnsi="Times New Roman" w:cs="Times New Roman"/>
          <w:sz w:val="24"/>
          <w:szCs w:val="24"/>
        </w:rPr>
      </w:pPr>
      <w:r w:rsidRPr="00C122F2">
        <w:rPr>
          <w:rFonts w:ascii="Times New Roman" w:hAnsi="Times New Roman" w:cs="Times New Roman"/>
          <w:sz w:val="24"/>
          <w:szCs w:val="24"/>
        </w:rPr>
        <w:t>Zsuzsa Ferge: “Educación”, en Tom Bottomore (dir.): Diccionario del pensamiento marxista, Madrid, ed. Tecnos, 1984, pp. 258-260.</w:t>
      </w:r>
    </w:p>
    <w:p w:rsidR="00A86DBD" w:rsidRPr="00C122F2" w:rsidRDefault="00A86DBD" w:rsidP="00C122F2">
      <w:pPr>
        <w:pStyle w:val="Prrafodelista"/>
        <w:numPr>
          <w:ilvl w:val="0"/>
          <w:numId w:val="6"/>
        </w:numPr>
        <w:spacing w:line="360" w:lineRule="auto"/>
        <w:rPr>
          <w:rFonts w:ascii="Times New Roman" w:hAnsi="Times New Roman" w:cs="Times New Roman"/>
          <w:sz w:val="24"/>
          <w:szCs w:val="24"/>
          <w:shd w:val="clear" w:color="auto" w:fill="FFFFFF"/>
        </w:rPr>
      </w:pPr>
      <w:r w:rsidRPr="00C122F2">
        <w:rPr>
          <w:rFonts w:ascii="Times New Roman" w:hAnsi="Times New Roman" w:cs="Times New Roman"/>
          <w:sz w:val="24"/>
          <w:szCs w:val="24"/>
        </w:rPr>
        <w:t>Lucio Colletti: La superación de la ideología, Cátedra, Barcelona, 1982</w:t>
      </w:r>
    </w:p>
    <w:p w:rsidR="00A86DBD" w:rsidRPr="00C122F2" w:rsidRDefault="00A86DBD" w:rsidP="00C122F2">
      <w:pPr>
        <w:pStyle w:val="Prrafodelista"/>
        <w:numPr>
          <w:ilvl w:val="0"/>
          <w:numId w:val="6"/>
        </w:numPr>
        <w:spacing w:line="360" w:lineRule="auto"/>
        <w:rPr>
          <w:rFonts w:ascii="Times New Roman" w:hAnsi="Times New Roman" w:cs="Times New Roman"/>
          <w:color w:val="000000" w:themeColor="text1"/>
          <w:sz w:val="24"/>
          <w:szCs w:val="24"/>
        </w:rPr>
      </w:pPr>
      <w:hyperlink r:id="rId10" w:history="1">
        <w:r w:rsidRPr="00C122F2">
          <w:rPr>
            <w:rStyle w:val="Hipervnculo"/>
            <w:rFonts w:ascii="Times New Roman" w:hAnsi="Times New Roman" w:cs="Times New Roman"/>
            <w:sz w:val="24"/>
            <w:szCs w:val="24"/>
          </w:rPr>
          <w:t>file:///C:/Users/Administrador/Downloads/Dialnet-SocializacionEducacionYReproduccionCultural-1343189%20(1).pdf</w:t>
        </w:r>
      </w:hyperlink>
    </w:p>
    <w:p w:rsidR="00A86DBD" w:rsidRPr="00C122F2" w:rsidRDefault="00A86DBD" w:rsidP="00C122F2">
      <w:pPr>
        <w:pStyle w:val="Prrafodelista"/>
        <w:numPr>
          <w:ilvl w:val="0"/>
          <w:numId w:val="6"/>
        </w:numPr>
        <w:spacing w:line="360" w:lineRule="auto"/>
        <w:rPr>
          <w:rStyle w:val="Hipervnculo"/>
          <w:rFonts w:ascii="Times New Roman" w:hAnsi="Times New Roman" w:cs="Times New Roman"/>
          <w:color w:val="000000" w:themeColor="text1"/>
          <w:sz w:val="24"/>
          <w:szCs w:val="24"/>
          <w:u w:val="none"/>
        </w:rPr>
      </w:pPr>
      <w:hyperlink r:id="rId11" w:history="1">
        <w:r w:rsidRPr="00C122F2">
          <w:rPr>
            <w:rStyle w:val="Hipervnculo"/>
            <w:rFonts w:ascii="Times New Roman" w:hAnsi="Times New Roman" w:cs="Times New Roman"/>
            <w:sz w:val="24"/>
            <w:szCs w:val="24"/>
          </w:rPr>
          <w:t>https://inupsi.com/la-educacion-liberadora-paulo-freire/</w:t>
        </w:r>
      </w:hyperlink>
    </w:p>
    <w:p w:rsidR="00C122F2" w:rsidRPr="00C122F2" w:rsidRDefault="00A86DBD" w:rsidP="00C122F2">
      <w:pPr>
        <w:pStyle w:val="Prrafodelista"/>
        <w:numPr>
          <w:ilvl w:val="0"/>
          <w:numId w:val="6"/>
        </w:numPr>
        <w:spacing w:line="360" w:lineRule="auto"/>
        <w:rPr>
          <w:rFonts w:ascii="Times New Roman" w:hAnsi="Times New Roman" w:cs="Times New Roman"/>
          <w:color w:val="000000" w:themeColor="text1"/>
          <w:sz w:val="24"/>
          <w:szCs w:val="24"/>
        </w:rPr>
      </w:pPr>
      <w:r w:rsidRPr="00C122F2">
        <w:rPr>
          <w:rFonts w:ascii="Times New Roman" w:hAnsi="Times New Roman" w:cs="Times New Roman"/>
          <w:color w:val="000000"/>
          <w:sz w:val="24"/>
          <w:szCs w:val="24"/>
        </w:rPr>
        <w:t xml:space="preserve">Carlos </w:t>
      </w:r>
      <w:proofErr w:type="spellStart"/>
      <w:r w:rsidRPr="00C122F2">
        <w:rPr>
          <w:rFonts w:ascii="Times New Roman" w:hAnsi="Times New Roman" w:cs="Times New Roman"/>
          <w:color w:val="000000"/>
          <w:sz w:val="24"/>
          <w:szCs w:val="24"/>
        </w:rPr>
        <w:t>Henriquez</w:t>
      </w:r>
      <w:proofErr w:type="spellEnd"/>
      <w:r w:rsidRPr="00C122F2">
        <w:rPr>
          <w:rFonts w:ascii="Times New Roman" w:hAnsi="Times New Roman" w:cs="Times New Roman"/>
          <w:color w:val="000000"/>
          <w:sz w:val="24"/>
          <w:szCs w:val="24"/>
        </w:rPr>
        <w:t xml:space="preserve">. (2016). LA EDUCACIÓN BANCARIA. 19 mayo del 2021, de </w:t>
      </w:r>
      <w:proofErr w:type="spellStart"/>
      <w:r w:rsidRPr="00C122F2">
        <w:rPr>
          <w:rFonts w:ascii="Times New Roman" w:hAnsi="Times New Roman" w:cs="Times New Roman"/>
          <w:color w:val="000000"/>
          <w:sz w:val="24"/>
          <w:szCs w:val="24"/>
        </w:rPr>
        <w:t>prezi</w:t>
      </w:r>
      <w:proofErr w:type="spellEnd"/>
      <w:r w:rsidRPr="00C122F2">
        <w:rPr>
          <w:rFonts w:ascii="Times New Roman" w:hAnsi="Times New Roman" w:cs="Times New Roman"/>
          <w:color w:val="000000"/>
          <w:sz w:val="24"/>
          <w:szCs w:val="24"/>
        </w:rPr>
        <w:t xml:space="preserve"> Sitio web: </w:t>
      </w:r>
      <w:hyperlink r:id="rId12" w:history="1">
        <w:r w:rsidRPr="00C122F2">
          <w:rPr>
            <w:rStyle w:val="Hipervnculo"/>
            <w:rFonts w:ascii="Times New Roman" w:hAnsi="Times New Roman" w:cs="Times New Roman"/>
            <w:sz w:val="24"/>
            <w:szCs w:val="24"/>
          </w:rPr>
          <w:t>https://prezi.com/qyptxb048nwz/la-educacion-bancaria/</w:t>
        </w:r>
      </w:hyperlink>
    </w:p>
    <w:p w:rsidR="00C122F2" w:rsidRPr="00C122F2" w:rsidRDefault="00C122F2" w:rsidP="00C122F2">
      <w:pPr>
        <w:pStyle w:val="Prrafodelista"/>
        <w:spacing w:line="360" w:lineRule="auto"/>
        <w:rPr>
          <w:rFonts w:ascii="Times New Roman" w:hAnsi="Times New Roman" w:cs="Times New Roman"/>
          <w:sz w:val="24"/>
          <w:szCs w:val="24"/>
          <w:lang w:val="es-ES"/>
        </w:rPr>
      </w:pPr>
    </w:p>
    <w:p w:rsidR="00C122F2" w:rsidRPr="00C122F2" w:rsidRDefault="00C122F2" w:rsidP="00C122F2">
      <w:pPr>
        <w:pStyle w:val="Prrafodelista"/>
        <w:numPr>
          <w:ilvl w:val="0"/>
          <w:numId w:val="6"/>
        </w:numPr>
        <w:spacing w:line="360" w:lineRule="auto"/>
        <w:rPr>
          <w:rFonts w:ascii="Times New Roman" w:hAnsi="Times New Roman" w:cs="Times New Roman"/>
          <w:color w:val="000000"/>
          <w:sz w:val="24"/>
          <w:szCs w:val="24"/>
          <w:shd w:val="clear" w:color="auto" w:fill="FFFFFF"/>
        </w:rPr>
      </w:pPr>
      <w:r w:rsidRPr="00C122F2">
        <w:rPr>
          <w:rFonts w:ascii="Times New Roman" w:hAnsi="Times New Roman" w:cs="Times New Roman"/>
          <w:color w:val="000000"/>
          <w:sz w:val="24"/>
          <w:szCs w:val="24"/>
        </w:rPr>
        <w:t>Marta García-</w:t>
      </w:r>
      <w:proofErr w:type="gramStart"/>
      <w:r w:rsidRPr="00C122F2">
        <w:rPr>
          <w:rFonts w:ascii="Times New Roman" w:hAnsi="Times New Roman" w:cs="Times New Roman"/>
          <w:color w:val="000000"/>
          <w:sz w:val="24"/>
          <w:szCs w:val="24"/>
        </w:rPr>
        <w:t>Lastra .</w:t>
      </w:r>
      <w:proofErr w:type="gramEnd"/>
      <w:r w:rsidRPr="00C122F2">
        <w:rPr>
          <w:rFonts w:ascii="Times New Roman" w:hAnsi="Times New Roman" w:cs="Times New Roman"/>
          <w:color w:val="000000"/>
          <w:sz w:val="24"/>
          <w:szCs w:val="24"/>
        </w:rPr>
        <w:t xml:space="preserve"> (2011). Educar en la sociedad contemporánea. Hacia un nuevo escenario </w:t>
      </w:r>
      <w:proofErr w:type="gramStart"/>
      <w:r w:rsidRPr="00C122F2">
        <w:rPr>
          <w:rFonts w:ascii="Times New Roman" w:hAnsi="Times New Roman" w:cs="Times New Roman"/>
          <w:color w:val="000000"/>
          <w:sz w:val="24"/>
          <w:szCs w:val="24"/>
        </w:rPr>
        <w:t>educativo .</w:t>
      </w:r>
      <w:proofErr w:type="gramEnd"/>
      <w:r w:rsidRPr="00C122F2">
        <w:rPr>
          <w:rFonts w:ascii="Times New Roman" w:hAnsi="Times New Roman" w:cs="Times New Roman"/>
          <w:color w:val="000000"/>
          <w:sz w:val="24"/>
          <w:szCs w:val="24"/>
        </w:rPr>
        <w:t xml:space="preserve"> 27/04/2021, de Universidad de Cantabria, España Sitio web: http://www.scielo.org.mx/scielo.php?script=sci_arttext&amp;pid=S1405-14352013000200008</w:t>
      </w:r>
      <w:r w:rsidRPr="00C122F2">
        <w:rPr>
          <w:rFonts w:ascii="Times New Roman" w:hAnsi="Times New Roman" w:cs="Times New Roman"/>
          <w:color w:val="000000"/>
          <w:sz w:val="24"/>
          <w:szCs w:val="24"/>
          <w:shd w:val="clear" w:color="auto" w:fill="FFFFFF"/>
        </w:rPr>
        <w:t xml:space="preserve"> </w:t>
      </w:r>
    </w:p>
    <w:p w:rsidR="00C122F2" w:rsidRPr="00C122F2" w:rsidRDefault="00C122F2" w:rsidP="00C122F2">
      <w:pPr>
        <w:pStyle w:val="Prrafodelista"/>
        <w:numPr>
          <w:ilvl w:val="0"/>
          <w:numId w:val="6"/>
        </w:numPr>
        <w:spacing w:line="360" w:lineRule="auto"/>
        <w:rPr>
          <w:rFonts w:ascii="Times New Roman" w:hAnsi="Times New Roman" w:cs="Times New Roman"/>
          <w:sz w:val="24"/>
          <w:szCs w:val="24"/>
        </w:rPr>
      </w:pPr>
      <w:r w:rsidRPr="00C122F2">
        <w:rPr>
          <w:rFonts w:ascii="Times New Roman" w:hAnsi="Times New Roman" w:cs="Times New Roman"/>
          <w:color w:val="000000"/>
          <w:sz w:val="24"/>
          <w:szCs w:val="24"/>
          <w:shd w:val="clear" w:color="auto" w:fill="FFFFFF"/>
        </w:rPr>
        <w:t xml:space="preserve">Beck, Ulrich (1996), "Teoría de la Sociedad del Riesgo", en </w:t>
      </w:r>
      <w:proofErr w:type="spellStart"/>
      <w:r w:rsidRPr="00C122F2">
        <w:rPr>
          <w:rFonts w:ascii="Times New Roman" w:hAnsi="Times New Roman" w:cs="Times New Roman"/>
          <w:color w:val="000000"/>
          <w:sz w:val="24"/>
          <w:szCs w:val="24"/>
          <w:shd w:val="clear" w:color="auto" w:fill="FFFFFF"/>
        </w:rPr>
        <w:t>Giddens</w:t>
      </w:r>
      <w:proofErr w:type="spellEnd"/>
      <w:r w:rsidRPr="00C122F2">
        <w:rPr>
          <w:rFonts w:ascii="Times New Roman" w:hAnsi="Times New Roman" w:cs="Times New Roman"/>
          <w:color w:val="000000"/>
          <w:sz w:val="24"/>
          <w:szCs w:val="24"/>
          <w:shd w:val="clear" w:color="auto" w:fill="FFFFFF"/>
        </w:rPr>
        <w:t>, Anthony </w:t>
      </w:r>
      <w:r w:rsidRPr="00C122F2">
        <w:rPr>
          <w:rFonts w:ascii="Times New Roman" w:hAnsi="Times New Roman" w:cs="Times New Roman"/>
          <w:iCs/>
          <w:color w:val="000000"/>
          <w:sz w:val="24"/>
          <w:szCs w:val="24"/>
          <w:shd w:val="clear" w:color="auto" w:fill="FFFFFF"/>
        </w:rPr>
        <w:t>et al</w:t>
      </w:r>
      <w:r w:rsidRPr="00C122F2">
        <w:rPr>
          <w:rFonts w:ascii="Times New Roman" w:hAnsi="Times New Roman" w:cs="Times New Roman"/>
          <w:color w:val="000000"/>
          <w:sz w:val="24"/>
          <w:szCs w:val="24"/>
          <w:shd w:val="clear" w:color="auto" w:fill="FFFFFF"/>
        </w:rPr>
        <w:t>.[</w:t>
      </w:r>
      <w:proofErr w:type="spellStart"/>
      <w:r w:rsidRPr="00C122F2">
        <w:rPr>
          <w:rFonts w:ascii="Times New Roman" w:hAnsi="Times New Roman" w:cs="Times New Roman"/>
          <w:color w:val="000000"/>
          <w:sz w:val="24"/>
          <w:szCs w:val="24"/>
          <w:shd w:val="clear" w:color="auto" w:fill="FFFFFF"/>
        </w:rPr>
        <w:t>coords</w:t>
      </w:r>
      <w:proofErr w:type="spellEnd"/>
      <w:r w:rsidRPr="00C122F2">
        <w:rPr>
          <w:rFonts w:ascii="Times New Roman" w:hAnsi="Times New Roman" w:cs="Times New Roman"/>
          <w:color w:val="000000"/>
          <w:sz w:val="24"/>
          <w:szCs w:val="24"/>
          <w:shd w:val="clear" w:color="auto" w:fill="FFFFFF"/>
        </w:rPr>
        <w:t>.], </w:t>
      </w:r>
      <w:r w:rsidRPr="00C122F2">
        <w:rPr>
          <w:rFonts w:ascii="Times New Roman" w:hAnsi="Times New Roman" w:cs="Times New Roman"/>
          <w:iCs/>
          <w:color w:val="000000"/>
          <w:sz w:val="24"/>
          <w:szCs w:val="24"/>
          <w:shd w:val="clear" w:color="auto" w:fill="FFFFFF"/>
        </w:rPr>
        <w:t>Las consecuencias perversas de la modernidad,</w:t>
      </w:r>
      <w:r w:rsidRPr="00C122F2">
        <w:rPr>
          <w:rFonts w:ascii="Times New Roman" w:hAnsi="Times New Roman" w:cs="Times New Roman"/>
          <w:color w:val="000000"/>
          <w:sz w:val="24"/>
          <w:szCs w:val="24"/>
          <w:shd w:val="clear" w:color="auto" w:fill="FFFFFF"/>
        </w:rPr>
        <w:t xml:space="preserve"> España: </w:t>
      </w:r>
      <w:proofErr w:type="spellStart"/>
      <w:r w:rsidRPr="00C122F2">
        <w:rPr>
          <w:rFonts w:ascii="Times New Roman" w:hAnsi="Times New Roman" w:cs="Times New Roman"/>
          <w:color w:val="000000"/>
          <w:sz w:val="24"/>
          <w:szCs w:val="24"/>
          <w:shd w:val="clear" w:color="auto" w:fill="FFFFFF"/>
        </w:rPr>
        <w:t>Anthropos</w:t>
      </w:r>
      <w:proofErr w:type="spellEnd"/>
      <w:r w:rsidRPr="00C122F2">
        <w:rPr>
          <w:rFonts w:ascii="Times New Roman" w:hAnsi="Times New Roman" w:cs="Times New Roman"/>
          <w:color w:val="000000"/>
          <w:sz w:val="24"/>
          <w:szCs w:val="24"/>
          <w:shd w:val="clear" w:color="auto" w:fill="FFFFFF"/>
        </w:rPr>
        <w:t>.  </w:t>
      </w:r>
    </w:p>
    <w:p w:rsidR="00350870" w:rsidRDefault="00350870"/>
    <w:sectPr w:rsidR="003508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41EE"/>
    <w:multiLevelType w:val="hybridMultilevel"/>
    <w:tmpl w:val="2F4620A6"/>
    <w:lvl w:ilvl="0" w:tplc="080A000B">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6F25B3A"/>
    <w:multiLevelType w:val="hybridMultilevel"/>
    <w:tmpl w:val="F3D86C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E2929"/>
    <w:multiLevelType w:val="hybridMultilevel"/>
    <w:tmpl w:val="A0C88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843F1A"/>
    <w:multiLevelType w:val="hybridMultilevel"/>
    <w:tmpl w:val="00260C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D87650"/>
    <w:multiLevelType w:val="hybridMultilevel"/>
    <w:tmpl w:val="3F8642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DD1B62"/>
    <w:multiLevelType w:val="hybridMultilevel"/>
    <w:tmpl w:val="4050B5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B6216A8"/>
    <w:multiLevelType w:val="hybridMultilevel"/>
    <w:tmpl w:val="D77416FE"/>
    <w:lvl w:ilvl="0" w:tplc="08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DC10760"/>
    <w:multiLevelType w:val="hybridMultilevel"/>
    <w:tmpl w:val="6E52C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BD"/>
    <w:rsid w:val="00350870"/>
    <w:rsid w:val="00A86DBD"/>
    <w:rsid w:val="00C122F2"/>
    <w:rsid w:val="00C72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101B"/>
  <w15:chartTrackingRefBased/>
  <w15:docId w15:val="{E9A6B5B3-89CF-4B40-B4F2-A0DECAFE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A86D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A86DB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86DBD"/>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rsid w:val="00A86DBD"/>
    <w:rPr>
      <w:rFonts w:asciiTheme="majorHAnsi" w:eastAsiaTheme="majorEastAsia" w:hAnsiTheme="majorHAnsi" w:cstheme="majorBidi"/>
      <w:color w:val="2E74B5" w:themeColor="accent1" w:themeShade="BF"/>
      <w:sz w:val="26"/>
      <w:szCs w:val="26"/>
    </w:rPr>
  </w:style>
  <w:style w:type="paragraph" w:customStyle="1" w:styleId="transcripttextparagraph-sc-1jllhx4-1">
    <w:name w:val="transcripttext__paragraph-sc-1jllhx4-1"/>
    <w:basedOn w:val="Normal"/>
    <w:rsid w:val="00A86D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86DBD"/>
    <w:pPr>
      <w:ind w:left="720"/>
      <w:contextualSpacing/>
    </w:pPr>
  </w:style>
  <w:style w:type="character" w:styleId="Hipervnculo">
    <w:name w:val="Hyperlink"/>
    <w:basedOn w:val="Fuentedeprrafopredeter"/>
    <w:uiPriority w:val="99"/>
    <w:unhideWhenUsed/>
    <w:rsid w:val="00A86DBD"/>
    <w:rPr>
      <w:color w:val="0563C1" w:themeColor="hyperlink"/>
      <w:u w:val="single"/>
    </w:rPr>
  </w:style>
  <w:style w:type="paragraph" w:styleId="NormalWeb">
    <w:name w:val="Normal (Web)"/>
    <w:basedOn w:val="Normal"/>
    <w:uiPriority w:val="99"/>
    <w:unhideWhenUsed/>
    <w:rsid w:val="00C122F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48046">
      <w:bodyDiv w:val="1"/>
      <w:marLeft w:val="0"/>
      <w:marRight w:val="0"/>
      <w:marTop w:val="0"/>
      <w:marBottom w:val="0"/>
      <w:divBdr>
        <w:top w:val="none" w:sz="0" w:space="0" w:color="auto"/>
        <w:left w:val="none" w:sz="0" w:space="0" w:color="auto"/>
        <w:bottom w:val="none" w:sz="0" w:space="0" w:color="auto"/>
        <w:right w:val="none" w:sz="0" w:space="0" w:color="auto"/>
      </w:divBdr>
    </w:div>
    <w:div w:id="845631757">
      <w:bodyDiv w:val="1"/>
      <w:marLeft w:val="0"/>
      <w:marRight w:val="0"/>
      <w:marTop w:val="0"/>
      <w:marBottom w:val="0"/>
      <w:divBdr>
        <w:top w:val="none" w:sz="0" w:space="0" w:color="auto"/>
        <w:left w:val="none" w:sz="0" w:space="0" w:color="auto"/>
        <w:bottom w:val="none" w:sz="0" w:space="0" w:color="auto"/>
        <w:right w:val="none" w:sz="0" w:space="0" w:color="auto"/>
      </w:divBdr>
    </w:div>
    <w:div w:id="1476029847">
      <w:bodyDiv w:val="1"/>
      <w:marLeft w:val="0"/>
      <w:marRight w:val="0"/>
      <w:marTop w:val="0"/>
      <w:marBottom w:val="0"/>
      <w:divBdr>
        <w:top w:val="none" w:sz="0" w:space="0" w:color="auto"/>
        <w:left w:val="none" w:sz="0" w:space="0" w:color="auto"/>
        <w:bottom w:val="none" w:sz="0" w:space="0" w:color="auto"/>
        <w:right w:val="none" w:sz="0" w:space="0" w:color="auto"/>
      </w:divBdr>
      <w:divsChild>
        <w:div w:id="450124392">
          <w:marLeft w:val="0"/>
          <w:marRight w:val="0"/>
          <w:marTop w:val="0"/>
          <w:marBottom w:val="0"/>
          <w:divBdr>
            <w:top w:val="none" w:sz="0" w:space="0" w:color="auto"/>
            <w:left w:val="none" w:sz="0" w:space="0" w:color="auto"/>
            <w:bottom w:val="none" w:sz="0" w:space="0" w:color="auto"/>
            <w:right w:val="none" w:sz="0" w:space="0" w:color="auto"/>
          </w:divBdr>
        </w:div>
        <w:div w:id="1952399868">
          <w:marLeft w:val="0"/>
          <w:marRight w:val="0"/>
          <w:marTop w:val="0"/>
          <w:marBottom w:val="0"/>
          <w:divBdr>
            <w:top w:val="none" w:sz="0" w:space="0" w:color="auto"/>
            <w:left w:val="none" w:sz="0" w:space="0" w:color="auto"/>
            <w:bottom w:val="none" w:sz="0" w:space="0" w:color="auto"/>
            <w:right w:val="none" w:sz="0" w:space="0" w:color="auto"/>
          </w:divBdr>
        </w:div>
        <w:div w:id="1981887130">
          <w:marLeft w:val="0"/>
          <w:marRight w:val="0"/>
          <w:marTop w:val="0"/>
          <w:marBottom w:val="0"/>
          <w:divBdr>
            <w:top w:val="none" w:sz="0" w:space="0" w:color="auto"/>
            <w:left w:val="none" w:sz="0" w:space="0" w:color="auto"/>
            <w:bottom w:val="none" w:sz="0" w:space="0" w:color="auto"/>
            <w:right w:val="none" w:sz="0" w:space="0" w:color="auto"/>
          </w:divBdr>
        </w:div>
        <w:div w:id="119485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12" Type="http://schemas.openxmlformats.org/officeDocument/2006/relationships/hyperlink" Target="https://prezi.com/qyptxb048nwz/la-educacion-bancar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upsi.com/la-educacion-liberadora-paulo-freire/" TargetMode="External"/><Relationship Id="rId5" Type="http://schemas.openxmlformats.org/officeDocument/2006/relationships/webSettings" Target="webSettings.xml"/><Relationship Id="rId10" Type="http://schemas.openxmlformats.org/officeDocument/2006/relationships/hyperlink" Target="file:///C:/Users/Administrador/Downloads/Dialnet-SocializacionEducacionYReproduccionCultural-1343189%20(1).pdf" TargetMode="External"/><Relationship Id="rId4" Type="http://schemas.openxmlformats.org/officeDocument/2006/relationships/settings" Target="settings.xml"/><Relationship Id="rId9" Type="http://schemas.openxmlformats.org/officeDocument/2006/relationships/hyperlink" Target="https://prezi.com/alokmuooivtc/la-educacion-conservadora-y-la-progresiv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4C5D-5568-47D8-8E0B-07C4A91C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1273</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2</cp:revision>
  <dcterms:created xsi:type="dcterms:W3CDTF">2021-05-27T01:08:00Z</dcterms:created>
  <dcterms:modified xsi:type="dcterms:W3CDTF">2021-05-27T01:37:00Z</dcterms:modified>
</cp:coreProperties>
</file>