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11C3" w14:textId="77777777" w:rsidR="000C4716" w:rsidRPr="000C4716" w:rsidRDefault="000C4716" w:rsidP="000C4716">
      <w:pPr>
        <w:jc w:val="center"/>
        <w:rPr>
          <w:b/>
          <w:bCs/>
          <w:sz w:val="28"/>
          <w:szCs w:val="28"/>
        </w:rPr>
      </w:pPr>
      <w:r w:rsidRPr="000C4716">
        <w:rPr>
          <w:b/>
          <w:bCs/>
          <w:sz w:val="28"/>
          <w:szCs w:val="28"/>
        </w:rPr>
        <w:t>Escuela Normal de Educación Preescolar</w:t>
      </w:r>
    </w:p>
    <w:p w14:paraId="460D2C6C" w14:textId="77777777" w:rsidR="000C4716" w:rsidRPr="000C4716" w:rsidRDefault="000C4716" w:rsidP="000C4716">
      <w:pPr>
        <w:jc w:val="center"/>
        <w:rPr>
          <w:sz w:val="24"/>
        </w:rPr>
      </w:pPr>
      <w:r w:rsidRPr="000C4716">
        <w:rPr>
          <w:sz w:val="24"/>
        </w:rPr>
        <w:t>Licenciatura en Educación Preescolar</w:t>
      </w:r>
    </w:p>
    <w:p w14:paraId="026E0920" w14:textId="77777777" w:rsidR="000C4716" w:rsidRPr="000C4716" w:rsidRDefault="000C4716" w:rsidP="000C4716">
      <w:pPr>
        <w:jc w:val="center"/>
        <w:rPr>
          <w:sz w:val="24"/>
        </w:rPr>
      </w:pPr>
      <w:r w:rsidRPr="000C471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6B7740" wp14:editId="03CA96AA">
            <wp:simplePos x="0" y="0"/>
            <wp:positionH relativeFrom="margin">
              <wp:align>center</wp:align>
            </wp:positionH>
            <wp:positionV relativeFrom="paragraph">
              <wp:posOffset>334010</wp:posOffset>
            </wp:positionV>
            <wp:extent cx="1565564" cy="1164137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564" cy="11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716">
        <w:rPr>
          <w:sz w:val="24"/>
        </w:rPr>
        <w:t>Ciclo escolar 2020-2021</w:t>
      </w:r>
    </w:p>
    <w:p w14:paraId="5260B497" w14:textId="77777777" w:rsidR="000C4716" w:rsidRPr="000C4716" w:rsidRDefault="000C4716" w:rsidP="000C4716">
      <w:pPr>
        <w:jc w:val="center"/>
        <w:rPr>
          <w:b/>
          <w:bCs/>
        </w:rPr>
      </w:pPr>
    </w:p>
    <w:p w14:paraId="62FCE5E3" w14:textId="77777777" w:rsidR="000C4716" w:rsidRPr="000C4716" w:rsidRDefault="000C4716" w:rsidP="000C4716">
      <w:pPr>
        <w:jc w:val="center"/>
        <w:rPr>
          <w:b/>
          <w:bCs/>
          <w:sz w:val="24"/>
        </w:rPr>
      </w:pPr>
      <w:r w:rsidRPr="000C4716">
        <w:rPr>
          <w:b/>
          <w:bCs/>
          <w:sz w:val="24"/>
        </w:rPr>
        <w:t>Curso: Bases legales y normativas de la educación básica</w:t>
      </w:r>
    </w:p>
    <w:p w14:paraId="1B0C2EED" w14:textId="77777777" w:rsidR="000C4716" w:rsidRPr="000C4716" w:rsidRDefault="000C4716" w:rsidP="000C4716">
      <w:pPr>
        <w:jc w:val="center"/>
        <w:rPr>
          <w:sz w:val="24"/>
        </w:rPr>
      </w:pPr>
      <w:r w:rsidRPr="000C4716">
        <w:rPr>
          <w:b/>
          <w:bCs/>
          <w:sz w:val="24"/>
        </w:rPr>
        <w:t>Maestro:</w:t>
      </w:r>
      <w:r w:rsidRPr="000C4716">
        <w:rPr>
          <w:sz w:val="24"/>
        </w:rPr>
        <w:t xml:space="preserve"> Arturo Flores Rodríguez</w:t>
      </w:r>
    </w:p>
    <w:p w14:paraId="3D70FE6F" w14:textId="77777777" w:rsidR="000C4716" w:rsidRPr="000C4716" w:rsidRDefault="000C4716" w:rsidP="000C4716">
      <w:pPr>
        <w:jc w:val="center"/>
        <w:rPr>
          <w:sz w:val="24"/>
        </w:rPr>
      </w:pPr>
      <w:r w:rsidRPr="000C4716">
        <w:rPr>
          <w:b/>
          <w:bCs/>
          <w:sz w:val="24"/>
        </w:rPr>
        <w:t>Alumna:</w:t>
      </w:r>
      <w:r w:rsidRPr="000C4716">
        <w:rPr>
          <w:sz w:val="24"/>
        </w:rPr>
        <w:t xml:space="preserve"> Aneth Giselle Saavedra Salais</w:t>
      </w:r>
    </w:p>
    <w:p w14:paraId="32DDB4FA" w14:textId="77777777" w:rsidR="000C4716" w:rsidRPr="000C4716" w:rsidRDefault="000C4716" w:rsidP="000C4716">
      <w:pPr>
        <w:jc w:val="center"/>
        <w:rPr>
          <w:sz w:val="24"/>
        </w:rPr>
      </w:pPr>
      <w:r w:rsidRPr="000C4716">
        <w:rPr>
          <w:b/>
          <w:bCs/>
          <w:sz w:val="24"/>
        </w:rPr>
        <w:t>Número de lista:</w:t>
      </w:r>
      <w:r w:rsidRPr="000C4716">
        <w:rPr>
          <w:sz w:val="24"/>
        </w:rPr>
        <w:t xml:space="preserve"> 17        </w:t>
      </w:r>
      <w:r w:rsidRPr="000C4716">
        <w:rPr>
          <w:b/>
          <w:bCs/>
          <w:sz w:val="24"/>
        </w:rPr>
        <w:t>Grupo:</w:t>
      </w:r>
      <w:r w:rsidRPr="000C4716">
        <w:rPr>
          <w:sz w:val="24"/>
        </w:rPr>
        <w:t xml:space="preserve"> 3°B</w:t>
      </w:r>
    </w:p>
    <w:p w14:paraId="7E74ADB0" w14:textId="77777777" w:rsidR="000C4716" w:rsidRPr="000C4716" w:rsidRDefault="000C4716" w:rsidP="000C4716">
      <w:pPr>
        <w:jc w:val="center"/>
        <w:rPr>
          <w:b/>
          <w:bCs/>
          <w:sz w:val="24"/>
        </w:rPr>
      </w:pPr>
    </w:p>
    <w:p w14:paraId="5D383518" w14:textId="77777777" w:rsidR="000C4716" w:rsidRPr="000C4716" w:rsidRDefault="000C4716" w:rsidP="000C4716">
      <w:pPr>
        <w:jc w:val="center"/>
        <w:rPr>
          <w:b/>
          <w:bCs/>
          <w:sz w:val="24"/>
        </w:rPr>
      </w:pPr>
    </w:p>
    <w:p w14:paraId="5059B2CF" w14:textId="05B84128" w:rsidR="000C4716" w:rsidRPr="000C4716" w:rsidRDefault="000C4716" w:rsidP="000C4716">
      <w:pPr>
        <w:jc w:val="center"/>
        <w:rPr>
          <w:b/>
          <w:bCs/>
          <w:sz w:val="24"/>
        </w:rPr>
      </w:pPr>
      <w:r w:rsidRPr="000C4716">
        <w:rPr>
          <w:b/>
          <w:bCs/>
          <w:sz w:val="24"/>
        </w:rPr>
        <w:t>ACTIVIDAD 2.</w:t>
      </w:r>
      <w:r>
        <w:rPr>
          <w:b/>
          <w:bCs/>
          <w:sz w:val="24"/>
        </w:rPr>
        <w:t>4</w:t>
      </w:r>
      <w:r w:rsidRPr="000C4716">
        <w:rPr>
          <w:b/>
          <w:bCs/>
          <w:sz w:val="24"/>
        </w:rPr>
        <w:t xml:space="preserve"> </w:t>
      </w:r>
    </w:p>
    <w:p w14:paraId="1C2D87EB" w14:textId="77777777" w:rsidR="000C4716" w:rsidRPr="000C4716" w:rsidRDefault="000C4716" w:rsidP="000C4716">
      <w:pPr>
        <w:jc w:val="center"/>
        <w:rPr>
          <w:b/>
          <w:bCs/>
          <w:sz w:val="24"/>
        </w:rPr>
      </w:pPr>
    </w:p>
    <w:p w14:paraId="19C3F83F" w14:textId="77777777" w:rsidR="000C4716" w:rsidRPr="000C4716" w:rsidRDefault="000C4716" w:rsidP="000C4716">
      <w:pPr>
        <w:jc w:val="center"/>
        <w:rPr>
          <w:b/>
          <w:bCs/>
          <w:sz w:val="24"/>
        </w:rPr>
      </w:pPr>
      <w:r w:rsidRPr="000C4716">
        <w:rPr>
          <w:b/>
          <w:bCs/>
          <w:sz w:val="24"/>
        </w:rPr>
        <w:t>Unidad de aprendizaje II: Responsabilidades legales y éticos del quehacer profesional</w:t>
      </w:r>
    </w:p>
    <w:p w14:paraId="0E17535E" w14:textId="77777777" w:rsidR="000C4716" w:rsidRPr="000C4716" w:rsidRDefault="000C4716" w:rsidP="000C4716">
      <w:pPr>
        <w:jc w:val="center"/>
        <w:rPr>
          <w:b/>
          <w:bCs/>
          <w:sz w:val="24"/>
        </w:rPr>
      </w:pPr>
    </w:p>
    <w:p w14:paraId="2FE605C1" w14:textId="77777777" w:rsidR="000C4716" w:rsidRPr="000C4716" w:rsidRDefault="000C4716" w:rsidP="000C4716">
      <w:pPr>
        <w:jc w:val="center"/>
        <w:rPr>
          <w:b/>
          <w:bCs/>
          <w:sz w:val="24"/>
        </w:rPr>
      </w:pPr>
      <w:r w:rsidRPr="000C4716">
        <w:rPr>
          <w:b/>
          <w:bCs/>
          <w:sz w:val="24"/>
        </w:rPr>
        <w:t>Competencias profesionales:</w:t>
      </w:r>
    </w:p>
    <w:p w14:paraId="26779754" w14:textId="77777777" w:rsidR="000C4716" w:rsidRPr="000C4716" w:rsidRDefault="000C4716" w:rsidP="000C4716">
      <w:pPr>
        <w:jc w:val="center"/>
        <w:rPr>
          <w:sz w:val="24"/>
        </w:rPr>
      </w:pPr>
      <w:r w:rsidRPr="000C4716">
        <w:rPr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14:paraId="54F53FAA" w14:textId="77777777" w:rsidR="000C4716" w:rsidRPr="000C4716" w:rsidRDefault="000C4716" w:rsidP="000C4716">
      <w:pPr>
        <w:jc w:val="center"/>
        <w:rPr>
          <w:sz w:val="24"/>
        </w:rPr>
      </w:pPr>
      <w:r w:rsidRPr="000C4716">
        <w:rPr>
          <w:sz w:val="24"/>
        </w:rPr>
        <w:tab/>
        <w:t>• Utiliza los recursos metodológicos y técnicos de la investigación para explicar, comprender situaciones educativas y mejorar su docencia.</w:t>
      </w:r>
    </w:p>
    <w:p w14:paraId="5F9847E7" w14:textId="77777777" w:rsidR="000C4716" w:rsidRPr="000C4716" w:rsidRDefault="000C4716" w:rsidP="000C4716">
      <w:pPr>
        <w:jc w:val="center"/>
        <w:rPr>
          <w:sz w:val="24"/>
        </w:rPr>
      </w:pPr>
      <w:r w:rsidRPr="000C4716">
        <w:rPr>
          <w:sz w:val="24"/>
        </w:rPr>
        <w:t>• Actúa de manera ética ante la diversidad de situaciones que se presentan en la práctica profesional.</w:t>
      </w:r>
    </w:p>
    <w:p w14:paraId="700B5F61" w14:textId="77777777" w:rsidR="000C4716" w:rsidRPr="000C4716" w:rsidRDefault="000C4716" w:rsidP="000C4716">
      <w:pPr>
        <w:jc w:val="center"/>
        <w:rPr>
          <w:sz w:val="24"/>
        </w:rPr>
      </w:pPr>
      <w:r w:rsidRPr="000C4716">
        <w:rPr>
          <w:sz w:val="24"/>
        </w:rPr>
        <w:tab/>
        <w:t>• Orienta su actuación profesional con sentido ético-</w:t>
      </w:r>
      <w:proofErr w:type="spellStart"/>
      <w:r w:rsidRPr="000C4716">
        <w:rPr>
          <w:sz w:val="24"/>
        </w:rPr>
        <w:t>valoral</w:t>
      </w:r>
      <w:proofErr w:type="spellEnd"/>
      <w:r w:rsidRPr="000C4716">
        <w:rPr>
          <w:sz w:val="24"/>
        </w:rPr>
        <w:t xml:space="preserve"> y asume los diversos principios y reglas que aseguran una mejor convivencia institucional y social, en beneficio de los alumnos y de la comunidad escolar.</w:t>
      </w:r>
    </w:p>
    <w:p w14:paraId="7F56ECBE" w14:textId="77777777" w:rsidR="000C4716" w:rsidRPr="000C4716" w:rsidRDefault="000C4716" w:rsidP="000C4716">
      <w:pPr>
        <w:jc w:val="center"/>
        <w:rPr>
          <w:sz w:val="24"/>
        </w:rPr>
      </w:pPr>
      <w:r w:rsidRPr="000C4716">
        <w:rPr>
          <w:sz w:val="24"/>
        </w:rPr>
        <w:tab/>
        <w:t>• Previene y soluciona conflictos, así como situaciones emergentes con base en los derechos humanos, los principios derivados de la normatividad educativa y los valores propios de la profesión docente.</w:t>
      </w:r>
    </w:p>
    <w:p w14:paraId="44C5336D" w14:textId="77777777" w:rsidR="000C4716" w:rsidRPr="000C4716" w:rsidRDefault="000C4716" w:rsidP="000C4716">
      <w:pPr>
        <w:jc w:val="center"/>
        <w:rPr>
          <w:sz w:val="24"/>
        </w:rPr>
      </w:pPr>
      <w:r w:rsidRPr="000C4716">
        <w:rPr>
          <w:sz w:val="24"/>
        </w:rPr>
        <w:t>• Decide las estrategias pedagógicas para minimizar o eliminar las barreras para el aprendizaje y la participación, asegurando una educación inclusiva.</w:t>
      </w:r>
    </w:p>
    <w:p w14:paraId="5C52C6EB" w14:textId="77777777" w:rsidR="000C4716" w:rsidRPr="000C4716" w:rsidRDefault="000C4716" w:rsidP="000C4716">
      <w:pPr>
        <w:jc w:val="center"/>
        <w:rPr>
          <w:sz w:val="24"/>
        </w:rPr>
      </w:pPr>
    </w:p>
    <w:p w14:paraId="6EA61BE8" w14:textId="77777777" w:rsidR="000C4716" w:rsidRPr="000C4716" w:rsidRDefault="000C4716" w:rsidP="000C4716">
      <w:pPr>
        <w:jc w:val="center"/>
        <w:rPr>
          <w:sz w:val="24"/>
        </w:rPr>
      </w:pPr>
    </w:p>
    <w:p w14:paraId="75897AC1" w14:textId="77777777" w:rsidR="000C4716" w:rsidRPr="000C4716" w:rsidRDefault="000C4716" w:rsidP="000C4716">
      <w:pPr>
        <w:rPr>
          <w:sz w:val="24"/>
        </w:rPr>
      </w:pPr>
    </w:p>
    <w:p w14:paraId="36373879" w14:textId="77777777" w:rsidR="000C4716" w:rsidRPr="000C4716" w:rsidRDefault="000C4716" w:rsidP="000C4716">
      <w:pPr>
        <w:rPr>
          <w:sz w:val="24"/>
        </w:rPr>
      </w:pPr>
    </w:p>
    <w:p w14:paraId="7F7E4542" w14:textId="77777777" w:rsidR="000C4716" w:rsidRPr="000C4716" w:rsidRDefault="000C4716" w:rsidP="000C4716">
      <w:pPr>
        <w:spacing w:line="360" w:lineRule="auto"/>
        <w:rPr>
          <w:b/>
          <w:bCs/>
          <w:sz w:val="24"/>
        </w:rPr>
      </w:pPr>
    </w:p>
    <w:p w14:paraId="2A33E3DF" w14:textId="2B632A42" w:rsidR="000C4716" w:rsidRPr="000C4716" w:rsidRDefault="000C4716" w:rsidP="000C4716">
      <w:pPr>
        <w:spacing w:line="360" w:lineRule="auto"/>
        <w:jc w:val="center"/>
        <w:rPr>
          <w:sz w:val="24"/>
        </w:rPr>
      </w:pPr>
      <w:r w:rsidRPr="000C4716">
        <w:rPr>
          <w:b/>
          <w:bCs/>
          <w:sz w:val="24"/>
        </w:rPr>
        <w:t xml:space="preserve">Fecha: </w:t>
      </w:r>
      <w:r w:rsidRPr="000C4716">
        <w:rPr>
          <w:sz w:val="24"/>
        </w:rPr>
        <w:t>30 de mayo 2021</w:t>
      </w:r>
    </w:p>
    <w:p w14:paraId="6DFF0AC3" w14:textId="01D0E0B5" w:rsidR="000C4716" w:rsidRPr="000C4716" w:rsidRDefault="000C4716" w:rsidP="000C4716">
      <w:pPr>
        <w:spacing w:line="360" w:lineRule="auto"/>
        <w:jc w:val="center"/>
        <w:rPr>
          <w:b/>
          <w:bCs/>
          <w:sz w:val="24"/>
        </w:rPr>
      </w:pPr>
      <w:r w:rsidRPr="000C4716">
        <w:rPr>
          <w:b/>
          <w:bCs/>
          <w:sz w:val="24"/>
        </w:rPr>
        <w:t>Lugar:</w:t>
      </w:r>
      <w:r w:rsidRPr="000C4716">
        <w:rPr>
          <w:sz w:val="24"/>
        </w:rPr>
        <w:t xml:space="preserve"> Saltillo, Coahuila.</w:t>
      </w:r>
    </w:p>
    <w:p w14:paraId="58FB0382" w14:textId="77777777" w:rsidR="000C4716" w:rsidRDefault="000C4716" w:rsidP="000C471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A04EC02" w14:textId="77777777" w:rsidR="000C4716" w:rsidRDefault="000C4716" w:rsidP="000C4716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t>RÚBRICA ACTIVIDAD 2.4</w:t>
      </w:r>
      <w:r w:rsidRPr="00E91B19">
        <w:rPr>
          <w:b/>
          <w:szCs w:val="20"/>
        </w:rPr>
        <w:t>.</w:t>
      </w:r>
    </w:p>
    <w:p w14:paraId="59DEF034" w14:textId="77777777" w:rsidR="000C4716" w:rsidRDefault="000C4716" w:rsidP="000C4716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szCs w:val="20"/>
        </w:rPr>
        <w:t>El plagio invalida actividad</w:t>
      </w:r>
      <w:r w:rsidRPr="005034BA">
        <w:rPr>
          <w:b/>
          <w:szCs w:val="20"/>
        </w:rPr>
        <w:t>.</w:t>
      </w:r>
    </w:p>
    <w:p w14:paraId="58B1CECF" w14:textId="77777777" w:rsidR="000C4716" w:rsidRDefault="000C4716" w:rsidP="000C4716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3857C5D3" w14:textId="77777777" w:rsidR="000C4716" w:rsidRPr="00362F32" w:rsidRDefault="000C4716" w:rsidP="000C471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 w:val="20"/>
          <w:szCs w:val="20"/>
        </w:rPr>
      </w:pPr>
      <w:r w:rsidRPr="00362F32">
        <w:rPr>
          <w:rFonts w:ascii="Montserrat-Regular" w:hAnsi="Montserrat-Regular" w:cs="Montserrat-Regular"/>
          <w:color w:val="231F20"/>
          <w:sz w:val="20"/>
          <w:szCs w:val="20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1A4CF557" w14:textId="77777777" w:rsidR="000C4716" w:rsidRDefault="000C4716" w:rsidP="000C471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9191" w:type="dxa"/>
        <w:tblLook w:val="04A0" w:firstRow="1" w:lastRow="0" w:firstColumn="1" w:lastColumn="0" w:noHBand="0" w:noVBand="1"/>
      </w:tblPr>
      <w:tblGrid>
        <w:gridCol w:w="3397"/>
        <w:gridCol w:w="5794"/>
      </w:tblGrid>
      <w:tr w:rsidR="000C4716" w14:paraId="4CC29484" w14:textId="77777777" w:rsidTr="00391115">
        <w:trPr>
          <w:trHeight w:val="300"/>
        </w:trPr>
        <w:tc>
          <w:tcPr>
            <w:tcW w:w="3397" w:type="dxa"/>
            <w:shd w:val="clear" w:color="auto" w:fill="E7E6E6" w:themeFill="background2"/>
          </w:tcPr>
          <w:p w14:paraId="156CBB3D" w14:textId="77777777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Desafíos de la nueva escuela mexicana</w:t>
            </w:r>
          </w:p>
        </w:tc>
        <w:tc>
          <w:tcPr>
            <w:tcW w:w="5794" w:type="dxa"/>
            <w:shd w:val="clear" w:color="auto" w:fill="E7E6E6" w:themeFill="background2"/>
          </w:tcPr>
          <w:p w14:paraId="0757C238" w14:textId="77777777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Tu </w:t>
            </w: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explicación</w:t>
            </w:r>
          </w:p>
        </w:tc>
      </w:tr>
      <w:tr w:rsidR="000C4716" w14:paraId="56B76C00" w14:textId="77777777" w:rsidTr="00391115">
        <w:trPr>
          <w:trHeight w:val="1758"/>
        </w:trPr>
        <w:tc>
          <w:tcPr>
            <w:tcW w:w="3397" w:type="dxa"/>
            <w:shd w:val="clear" w:color="auto" w:fill="D9E2F3" w:themeFill="accent1" w:themeFillTint="33"/>
          </w:tcPr>
          <w:p w14:paraId="5FC8724E" w14:textId="77777777" w:rsidR="000C4716" w:rsidRPr="007E6E5F" w:rsidRDefault="000C4716" w:rsidP="000C4716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1: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5794" w:type="dxa"/>
          </w:tcPr>
          <w:p w14:paraId="27D5F8D3" w14:textId="7E49E99E" w:rsidR="000C4716" w:rsidRPr="00B94180" w:rsidRDefault="00391115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4"/>
              </w:rPr>
            </w:pPr>
            <w:r w:rsidRPr="00B94180">
              <w:rPr>
                <w:rFonts w:ascii="Montserrat-Bold" w:hAnsi="Montserrat-Bold" w:cs="Montserrat-Bold"/>
                <w:color w:val="000000"/>
                <w:sz w:val="24"/>
              </w:rPr>
              <w:t>Garantizar una formación integral en cada uno de los alumnos mexicanos, dándoles las herramientas necesarias para enfrentar la vida en igualdad de oportunidades y espacios para recibir una educación de excelencia, dándole más atención y focalización a las zonas más vulnerables. Como maestros, desarrollar todas las habilidades de nuestros alumnos al máximo y dotarlos de aprendizajes significativos por igual y en cada uno de los diferentes contextos.</w:t>
            </w:r>
          </w:p>
        </w:tc>
      </w:tr>
      <w:tr w:rsidR="000C4716" w14:paraId="4A1A42F0" w14:textId="77777777" w:rsidTr="00391115">
        <w:trPr>
          <w:trHeight w:val="1457"/>
        </w:trPr>
        <w:tc>
          <w:tcPr>
            <w:tcW w:w="3397" w:type="dxa"/>
            <w:shd w:val="clear" w:color="auto" w:fill="D9E2F3" w:themeFill="accent1" w:themeFillTint="33"/>
          </w:tcPr>
          <w:p w14:paraId="55B7226D" w14:textId="77777777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2: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6DB0950C" w14:textId="77777777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4" w:type="dxa"/>
          </w:tcPr>
          <w:p w14:paraId="2A52EB51" w14:textId="4E68DB84" w:rsidR="000C4716" w:rsidRPr="00B94180" w:rsidRDefault="00B94180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4"/>
              </w:rPr>
            </w:pPr>
            <w:r w:rsidRPr="00B94180">
              <w:rPr>
                <w:rFonts w:ascii="Montserrat-Bold" w:hAnsi="Montserrat-Bold" w:cs="Montserrat-Bold"/>
                <w:color w:val="000000"/>
                <w:sz w:val="24"/>
              </w:rPr>
              <w:t>Dentro de la práctica pedagógica</w:t>
            </w:r>
            <w:r>
              <w:rPr>
                <w:rFonts w:ascii="Montserrat-Bold" w:hAnsi="Montserrat-Bold" w:cs="Montserrat-Bold"/>
                <w:color w:val="000000"/>
                <w:sz w:val="24"/>
              </w:rPr>
              <w:t>,</w:t>
            </w:r>
            <w:r w:rsidRPr="00B94180">
              <w:rPr>
                <w:rFonts w:ascii="Montserrat-Bold" w:hAnsi="Montserrat-Bold" w:cs="Montserrat-Bold"/>
                <w:color w:val="000000"/>
                <w:sz w:val="24"/>
              </w:rPr>
              <w:t xml:space="preserve"> resulta necesario fomentar una sociedad intercultural, donde se aprecie la propia cultura y la de otros, enseñando los valores inmersos </w:t>
            </w:r>
            <w:r>
              <w:rPr>
                <w:rFonts w:ascii="Montserrat-Bold" w:hAnsi="Montserrat-Bold" w:cs="Montserrat-Bold"/>
                <w:color w:val="000000"/>
                <w:sz w:val="24"/>
              </w:rPr>
              <w:t xml:space="preserve">en esta convivencia </w:t>
            </w:r>
            <w:r w:rsidRPr="00B94180">
              <w:rPr>
                <w:rFonts w:ascii="Montserrat-Bold" w:hAnsi="Montserrat-Bold" w:cs="Montserrat-Bold"/>
                <w:color w:val="000000"/>
                <w:sz w:val="24"/>
              </w:rPr>
              <w:t>como el respeto</w:t>
            </w:r>
            <w:r>
              <w:rPr>
                <w:rFonts w:ascii="Montserrat-Bold" w:hAnsi="Montserrat-Bold" w:cs="Montserrat-Bold"/>
                <w:color w:val="000000"/>
                <w:sz w:val="24"/>
              </w:rPr>
              <w:t xml:space="preserve"> y</w:t>
            </w:r>
            <w:r w:rsidRPr="00B94180">
              <w:rPr>
                <w:rFonts w:ascii="Montserrat-Bold" w:hAnsi="Montserrat-Bold" w:cs="Montserrat-Bold"/>
                <w:color w:val="000000"/>
                <w:sz w:val="24"/>
              </w:rPr>
              <w:t xml:space="preserve"> la inclusión</w:t>
            </w:r>
            <w:r>
              <w:rPr>
                <w:rFonts w:ascii="Montserrat-Bold" w:hAnsi="Montserrat-Bold" w:cs="Montserrat-Bold"/>
                <w:color w:val="000000"/>
                <w:sz w:val="24"/>
              </w:rPr>
              <w:t>.</w:t>
            </w:r>
            <w:r w:rsidR="00823819">
              <w:rPr>
                <w:rFonts w:ascii="Montserrat-Bold" w:hAnsi="Montserrat-Bold" w:cs="Montserrat-Bold"/>
                <w:color w:val="000000"/>
                <w:sz w:val="24"/>
              </w:rPr>
              <w:t xml:space="preserve"> Mostrar la cultura, ideología y lengua de otras partes del mundo, a fin de tener siempre presente que existe un mundo diverso.</w:t>
            </w:r>
          </w:p>
        </w:tc>
      </w:tr>
      <w:tr w:rsidR="000C4716" w14:paraId="051F835E" w14:textId="77777777" w:rsidTr="00391115">
        <w:trPr>
          <w:trHeight w:val="600"/>
        </w:trPr>
        <w:tc>
          <w:tcPr>
            <w:tcW w:w="3397" w:type="dxa"/>
            <w:shd w:val="clear" w:color="auto" w:fill="D9E2F3" w:themeFill="accent1" w:themeFillTint="33"/>
          </w:tcPr>
          <w:p w14:paraId="6C86DA16" w14:textId="77777777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3: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0C696339" w14:textId="77777777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4" w:type="dxa"/>
          </w:tcPr>
          <w:p w14:paraId="42104478" w14:textId="5CFD8E7F" w:rsidR="000C4716" w:rsidRPr="00B94180" w:rsidRDefault="00B94180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4"/>
              </w:rPr>
            </w:pPr>
            <w:r w:rsidRPr="00B94180">
              <w:rPr>
                <w:rFonts w:ascii="Montserrat-Bold" w:hAnsi="Montserrat-Bold" w:cs="Montserrat-Bold"/>
                <w:color w:val="000000"/>
                <w:sz w:val="24"/>
              </w:rPr>
              <w:t>Fomentar el patriotismo en los alumnos</w:t>
            </w:r>
            <w:r w:rsidR="00823819">
              <w:rPr>
                <w:rFonts w:ascii="Montserrat-Bold" w:hAnsi="Montserrat-Bold" w:cs="Montserrat-Bold"/>
                <w:color w:val="000000"/>
                <w:sz w:val="24"/>
              </w:rPr>
              <w:t xml:space="preserve">, tengan amor y </w:t>
            </w:r>
            <w:r w:rsidRPr="00B94180">
              <w:rPr>
                <w:rFonts w:ascii="Montserrat-Bold" w:hAnsi="Montserrat-Bold" w:cs="Montserrat-Bold"/>
                <w:color w:val="000000"/>
                <w:sz w:val="24"/>
              </w:rPr>
              <w:t>apreci</w:t>
            </w:r>
            <w:r w:rsidR="00823819">
              <w:rPr>
                <w:rFonts w:ascii="Montserrat-Bold" w:hAnsi="Montserrat-Bold" w:cs="Montserrat-Bold"/>
                <w:color w:val="000000"/>
                <w:sz w:val="24"/>
              </w:rPr>
              <w:t>o</w:t>
            </w:r>
            <w:r w:rsidRPr="00B94180">
              <w:rPr>
                <w:rFonts w:ascii="Montserrat-Bold" w:hAnsi="Montserrat-Bold" w:cs="Montserrat-Bold"/>
                <w:color w:val="000000"/>
                <w:sz w:val="24"/>
              </w:rPr>
              <w:t xml:space="preserve"> </w:t>
            </w:r>
            <w:r w:rsidR="00823819">
              <w:rPr>
                <w:rFonts w:ascii="Montserrat-Bold" w:hAnsi="Montserrat-Bold" w:cs="Montserrat-Bold"/>
                <w:color w:val="000000"/>
                <w:sz w:val="24"/>
              </w:rPr>
              <w:t>al</w:t>
            </w:r>
            <w:r w:rsidRPr="00B94180">
              <w:rPr>
                <w:rFonts w:ascii="Montserrat-Bold" w:hAnsi="Montserrat-Bold" w:cs="Montserrat-Bold"/>
                <w:color w:val="000000"/>
                <w:sz w:val="24"/>
              </w:rPr>
              <w:t xml:space="preserve"> lugar donde viven, tengan la capacidad de analizar y reflexionar a partir de lo que observan </w:t>
            </w:r>
            <w:r w:rsidR="00823819">
              <w:rPr>
                <w:rFonts w:ascii="Montserrat-Bold" w:hAnsi="Montserrat-Bold" w:cs="Montserrat-Bold"/>
                <w:color w:val="000000"/>
                <w:sz w:val="24"/>
              </w:rPr>
              <w:t xml:space="preserve">y lo que ha pasado a través de la historia, y </w:t>
            </w:r>
            <w:r w:rsidRPr="00B94180">
              <w:rPr>
                <w:rFonts w:ascii="Montserrat-Bold" w:hAnsi="Montserrat-Bold" w:cs="Montserrat-Bold"/>
                <w:color w:val="000000"/>
                <w:sz w:val="24"/>
              </w:rPr>
              <w:t>tengan la intención de seguir</w:t>
            </w:r>
            <w:r w:rsidR="00823819">
              <w:rPr>
                <w:rFonts w:ascii="Montserrat-Bold" w:hAnsi="Montserrat-Bold" w:cs="Montserrat-Bold"/>
                <w:color w:val="000000"/>
                <w:sz w:val="24"/>
              </w:rPr>
              <w:t xml:space="preserve"> mejorando y cambiando positivamente al país.</w:t>
            </w:r>
          </w:p>
        </w:tc>
      </w:tr>
    </w:tbl>
    <w:p w14:paraId="24FF6379" w14:textId="77777777" w:rsidR="000C4716" w:rsidRDefault="000C4716" w:rsidP="000C471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497E6E1" w14:textId="77777777" w:rsidR="000C4716" w:rsidRDefault="000C4716" w:rsidP="000C471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02814259" w14:textId="77777777" w:rsidR="000C4716" w:rsidRPr="00362F32" w:rsidRDefault="000C4716" w:rsidP="000C471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 w:rsidRPr="00362F32">
        <w:rPr>
          <w:rFonts w:ascii="Montserrat-Regular" w:hAnsi="Montserrat-Regular" w:cs="Montserrat-Regular"/>
          <w:color w:val="000000"/>
          <w:sz w:val="20"/>
          <w:szCs w:val="20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>Declaración de Incheon y Marco de Acción ODS 4–Educación 2030.</w:t>
      </w:r>
    </w:p>
    <w:p w14:paraId="33DB0682" w14:textId="77777777" w:rsidR="000C4716" w:rsidRDefault="000C4716" w:rsidP="000C4716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hyperlink r:id="rId6" w:history="1">
        <w:r w:rsidRPr="003259C7">
          <w:rPr>
            <w:rStyle w:val="Hipervnculo"/>
            <w:rFonts w:ascii="Montserrat-Regular" w:hAnsi="Montserrat-Regular" w:cs="Montserrat-Regular"/>
            <w:sz w:val="20"/>
            <w:szCs w:val="20"/>
          </w:rPr>
          <w:t>https://unesdoc.unesco.org/ark:/48223/pf0000245656_spa</w:t>
        </w:r>
      </w:hyperlink>
    </w:p>
    <w:p w14:paraId="74956937" w14:textId="77777777" w:rsidR="000C4716" w:rsidRDefault="000C4716" w:rsidP="000C4716">
      <w:p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</w:p>
    <w:p w14:paraId="22F25878" w14:textId="77777777" w:rsidR="000C4716" w:rsidRPr="00362F32" w:rsidRDefault="000C4716" w:rsidP="000C4716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>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>.</w:t>
      </w:r>
    </w:p>
    <w:p w14:paraId="4638C63D" w14:textId="77777777" w:rsidR="000C4716" w:rsidRDefault="000C4716" w:rsidP="000C471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0B19F96A" w14:textId="77777777" w:rsidR="000C4716" w:rsidRDefault="000C4716" w:rsidP="000C471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9352"/>
      </w:tblGrid>
      <w:tr w:rsidR="000C4716" w14:paraId="206AEBE6" w14:textId="77777777" w:rsidTr="00823819">
        <w:trPr>
          <w:trHeight w:val="575"/>
        </w:trPr>
        <w:tc>
          <w:tcPr>
            <w:tcW w:w="9352" w:type="dxa"/>
            <w:shd w:val="clear" w:color="auto" w:fill="D9E2F3" w:themeFill="accent1" w:themeFillTint="33"/>
          </w:tcPr>
          <w:p w14:paraId="7E821685" w14:textId="77777777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Responsabilidades de las maestras y los maestros en el cumplimiento de las metas de la Declaración de Incheon </w:t>
            </w: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y Marco de Acción ODS 4–Educación 2030</w:t>
            </w:r>
          </w:p>
          <w:p w14:paraId="5FA6E34D" w14:textId="77777777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4716" w14:paraId="352C3942" w14:textId="77777777" w:rsidTr="000C4716">
        <w:trPr>
          <w:trHeight w:val="278"/>
        </w:trPr>
        <w:tc>
          <w:tcPr>
            <w:tcW w:w="9352" w:type="dxa"/>
          </w:tcPr>
          <w:p w14:paraId="7290A63D" w14:textId="6E786091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4.1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.</w:t>
            </w:r>
            <w:r w:rsidR="00823819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3819" w:rsidRPr="00823819">
              <w:rPr>
                <w:color w:val="000000"/>
                <w:sz w:val="20"/>
              </w:rPr>
              <w:t>V</w:t>
            </w:r>
            <w:r w:rsidR="00823819">
              <w:rPr>
                <w:shd w:val="clear" w:color="auto" w:fill="FFFFFF"/>
              </w:rPr>
              <w:t>elar por que todas las niñas y todos los niños terminen los ciclos de la enseñanza primaria y secundaria, que ha de ser gratuita, equitativa y de calidad y producir resultados escolares pertinentes y eficaces</w:t>
            </w:r>
            <w:r w:rsidR="00823819">
              <w:rPr>
                <w:shd w:val="clear" w:color="auto" w:fill="FFFFFF"/>
              </w:rPr>
              <w:t>.</w:t>
            </w:r>
          </w:p>
          <w:p w14:paraId="40E891C0" w14:textId="14B913A6" w:rsidR="00823819" w:rsidRDefault="00AA4DE1" w:rsidP="00AA4DE1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shd w:val="clear" w:color="auto" w:fill="FFFFFF"/>
              </w:rPr>
              <w:lastRenderedPageBreak/>
              <w:t xml:space="preserve">La responsabilidad del maestro está en velar por el aprendizaje de los niños a fin de seguir avanzando, sin rezagos y retrasos, haciendo valer su derecho, establecido en el </w:t>
            </w:r>
            <w:r w:rsidRPr="00AA4DE1">
              <w:rPr>
                <w:shd w:val="clear" w:color="auto" w:fill="FFFFFF"/>
              </w:rPr>
              <w:t>Artículo 2 de la Ley General de Educación</w:t>
            </w:r>
            <w:r>
              <w:rPr>
                <w:shd w:val="clear" w:color="auto" w:fill="FFFFFF"/>
              </w:rPr>
              <w:t xml:space="preserve"> donde nos dice que </w:t>
            </w:r>
            <w:r w:rsidRPr="00AA4DE1">
              <w:rPr>
                <w:i/>
                <w:iCs/>
                <w:shd w:val="clear" w:color="auto" w:fill="FFFFFF"/>
              </w:rPr>
              <w:t>“T</w:t>
            </w:r>
            <w:r w:rsidRPr="00AA4DE1">
              <w:rPr>
                <w:i/>
                <w:iCs/>
                <w:shd w:val="clear" w:color="auto" w:fill="FFFFFF"/>
              </w:rPr>
              <w:t>odos tenemos derecho a la educación. Por lo tanto, todos los habitantes del país tienen las mismas oportunidades de acceso al sistema educativo nacional. El estado priorizara el interés de niños, niñas, adolescentes y jóvenes en su derecho a la educación.</w:t>
            </w:r>
            <w:r w:rsidRPr="00AA4DE1">
              <w:rPr>
                <w:i/>
                <w:iCs/>
                <w:shd w:val="clear" w:color="auto" w:fill="FFFFFF"/>
              </w:rPr>
              <w:t>”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0C4716" w14:paraId="3EDA72A4" w14:textId="77777777" w:rsidTr="000C4716">
        <w:trPr>
          <w:trHeight w:val="297"/>
        </w:trPr>
        <w:tc>
          <w:tcPr>
            <w:tcW w:w="9352" w:type="dxa"/>
          </w:tcPr>
          <w:p w14:paraId="7E32E26C" w14:textId="5F438920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lastRenderedPageBreak/>
              <w:t>4.2.</w:t>
            </w:r>
            <w:r w:rsidR="00823819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3819" w:rsidRPr="00823819">
              <w:rPr>
                <w:color w:val="000000"/>
                <w:sz w:val="20"/>
              </w:rPr>
              <w:t>V</w:t>
            </w:r>
            <w:r w:rsidR="00823819">
              <w:rPr>
                <w:shd w:val="clear" w:color="auto" w:fill="FFFFFF"/>
              </w:rPr>
              <w:t>elar por que todas las niñas y todos los niños tengan acceso a servicios de atención y desarrollo en la primera infancia y a una enseñanza preescolar de calidad, a fin de que estén preparados para la enseñanza primaria</w:t>
            </w:r>
            <w:r w:rsidR="00823819">
              <w:rPr>
                <w:shd w:val="clear" w:color="auto" w:fill="FFFFFF"/>
              </w:rPr>
              <w:t>.</w:t>
            </w:r>
          </w:p>
          <w:p w14:paraId="0AB9E85C" w14:textId="2516D73F" w:rsidR="00F83F78" w:rsidRPr="00F83F78" w:rsidRDefault="00F83F78" w:rsidP="00F83F7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La tarea del maestro es y siempre será poner en el centro al estudiante, esto se fundamenta en el </w:t>
            </w:r>
            <w:r w:rsidRPr="00F83F78">
              <w:rPr>
                <w:shd w:val="clear" w:color="auto" w:fill="FFFFFF"/>
              </w:rPr>
              <w:t>Artículo 72 de la Ley General de Educación</w:t>
            </w:r>
            <w:r>
              <w:rPr>
                <w:shd w:val="clear" w:color="auto" w:fill="FFFFFF"/>
              </w:rPr>
              <w:t>, el cual nos dice que “</w:t>
            </w:r>
            <w:r w:rsidRPr="00F83F78">
              <w:rPr>
                <w:i/>
                <w:iCs/>
                <w:shd w:val="clear" w:color="auto" w:fill="FFFFFF"/>
              </w:rPr>
              <w:t>L</w:t>
            </w:r>
            <w:r w:rsidRPr="00F83F78">
              <w:rPr>
                <w:i/>
                <w:iCs/>
                <w:shd w:val="clear" w:color="auto" w:fill="FFFFFF"/>
              </w:rPr>
              <w:t>os educandos son los sujetos más valiosos de la educación con pleno derecho a desarrollar todas sus potencialidades de forma activa, transformadora y autónoma</w:t>
            </w:r>
            <w:r w:rsidRPr="00F83F78">
              <w:rPr>
                <w:i/>
                <w:iCs/>
                <w:shd w:val="clear" w:color="auto" w:fill="FFFFFF"/>
              </w:rPr>
              <w:t>”</w:t>
            </w:r>
            <w:r>
              <w:rPr>
                <w:i/>
                <w:iCs/>
                <w:shd w:val="clear" w:color="auto" w:fill="FFFFFF"/>
              </w:rPr>
              <w:t xml:space="preserve">. </w:t>
            </w:r>
            <w:r>
              <w:rPr>
                <w:shd w:val="clear" w:color="auto" w:fill="FFFFFF"/>
              </w:rPr>
              <w:t xml:space="preserve">Esto se hace en cada uno de los niveles, iniciando con la primera infancia, dotarlos de aprendizajes acordes a su edad y nivel cognitivo, los cuales les ayudaran a seguir escalando en su formación académica. </w:t>
            </w:r>
          </w:p>
          <w:p w14:paraId="3CF06B97" w14:textId="1913D3E3" w:rsidR="00F83F78" w:rsidRDefault="00F83F78" w:rsidP="000C471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14:paraId="7C9D6FE4" w14:textId="5195E304" w:rsidR="00823819" w:rsidRDefault="00823819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4716" w14:paraId="349969A5" w14:textId="77777777" w:rsidTr="000C4716">
        <w:trPr>
          <w:trHeight w:val="278"/>
        </w:trPr>
        <w:tc>
          <w:tcPr>
            <w:tcW w:w="9352" w:type="dxa"/>
          </w:tcPr>
          <w:p w14:paraId="59BD61A5" w14:textId="784C596F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4.5</w:t>
            </w:r>
            <w:r w:rsidR="00823819">
              <w:rPr>
                <w:shd w:val="clear" w:color="auto" w:fill="FFFFFF"/>
              </w:rPr>
              <w:t xml:space="preserve"> </w:t>
            </w:r>
            <w:r w:rsidR="00823819">
              <w:rPr>
                <w:shd w:val="clear" w:color="auto" w:fill="FFFFFF"/>
              </w:rPr>
              <w:t>E</w:t>
            </w:r>
            <w:r w:rsidR="00823819">
              <w:rPr>
                <w:shd w:val="clear" w:color="auto" w:fill="FFFFFF"/>
              </w:rPr>
              <w:t>liminar las disparidades de género en la educación y garantizar el acceso en condiciones de igualdad de las personas vulnerables, incluidas las personas con discapacidad, los pueblos indígenas y los niños en situaciones de vulnerabilidad, a todos los niveles de la enseñanza y la formación profesional</w:t>
            </w:r>
            <w:r w:rsidR="00823819">
              <w:rPr>
                <w:shd w:val="clear" w:color="auto" w:fill="FFFFFF"/>
              </w:rPr>
              <w:t>.</w:t>
            </w:r>
          </w:p>
          <w:p w14:paraId="240FF774" w14:textId="505FE241" w:rsidR="00F83F78" w:rsidRPr="009F28CF" w:rsidRDefault="009F28CF" w:rsidP="009F28C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En el </w:t>
            </w:r>
            <w:r w:rsidRPr="009F28CF">
              <w:rPr>
                <w:shd w:val="clear" w:color="auto" w:fill="FFFFFF"/>
              </w:rPr>
              <w:t>A</w:t>
            </w:r>
            <w:r>
              <w:rPr>
                <w:shd w:val="clear" w:color="auto" w:fill="FFFFFF"/>
              </w:rPr>
              <w:t xml:space="preserve">rtículo </w:t>
            </w:r>
            <w:r w:rsidRPr="009F28CF">
              <w:rPr>
                <w:shd w:val="clear" w:color="auto" w:fill="FFFFFF"/>
              </w:rPr>
              <w:t>61 de la Ley General de Educación</w:t>
            </w:r>
            <w:r>
              <w:rPr>
                <w:shd w:val="clear" w:color="auto" w:fill="FFFFFF"/>
              </w:rPr>
              <w:t>, se establece que “</w:t>
            </w:r>
            <w:r w:rsidRPr="009F28CF">
              <w:rPr>
                <w:i/>
                <w:iCs/>
                <w:shd w:val="clear" w:color="auto" w:fill="FFFFFF"/>
              </w:rPr>
              <w:t>L</w:t>
            </w:r>
            <w:r w:rsidRPr="009F28CF">
              <w:rPr>
                <w:i/>
                <w:iCs/>
                <w:shd w:val="clear" w:color="auto" w:fill="FFFFFF"/>
              </w:rPr>
              <w:t>a educación inclusiva se basa en la valoración de la diversidad, adaptando el sistema para responder con equidad a las características, necesidades, intereses, capacidades, habilidades y estilos de aprendizaje de todos y cada uno de los educandos</w:t>
            </w:r>
            <w:r w:rsidRPr="009F28CF">
              <w:rPr>
                <w:i/>
                <w:iCs/>
                <w:shd w:val="clear" w:color="auto" w:fill="FFFFFF"/>
              </w:rPr>
              <w:t>”</w:t>
            </w:r>
            <w:r>
              <w:rPr>
                <w:i/>
                <w:iCs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Es tarea del maestro adaptar este sistema, tal como se menciona, a cada una de las condiciones y contextos que se tienen, pues sabemos que no hemos alcanzado la equidad educativa.</w:t>
            </w:r>
          </w:p>
          <w:p w14:paraId="5D6CDE4F" w14:textId="0CDB7252" w:rsidR="00823819" w:rsidRDefault="00823819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4716" w14:paraId="7236DB57" w14:textId="77777777" w:rsidTr="000C4716">
        <w:trPr>
          <w:trHeight w:val="297"/>
        </w:trPr>
        <w:tc>
          <w:tcPr>
            <w:tcW w:w="9352" w:type="dxa"/>
          </w:tcPr>
          <w:p w14:paraId="0477CEE0" w14:textId="4E72A9CB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4.7</w:t>
            </w:r>
            <w:r w:rsidR="00823819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3819">
              <w:rPr>
                <w:b/>
                <w:bCs/>
                <w:color w:val="000000"/>
                <w:sz w:val="20"/>
              </w:rPr>
              <w:t>G</w:t>
            </w:r>
            <w:r w:rsidR="00823819">
              <w:rPr>
                <w:shd w:val="clear" w:color="auto" w:fill="FFFFFF"/>
              </w:rPr>
              <w:t>arantizar que todos los alumnos adquieran los conocimientos teóricos y prácticos necesarios para promover el desarrollo sostenible, entre otras cosas mediante la educación para el desarrollo sostenible y la adopción de estilos de vida sostenibles, los derechos humanos, la igualdad entre los géneros, la promoción de una cultura de paz y no violencia, la ciudadanía mundial y la valoración de la diversidad cultural y de la contribución de la cultura al desarrollo sostenible, entre otros medios</w:t>
            </w:r>
            <w:r w:rsidR="00823819">
              <w:rPr>
                <w:shd w:val="clear" w:color="auto" w:fill="FFFFFF"/>
              </w:rPr>
              <w:t>.</w:t>
            </w:r>
          </w:p>
          <w:p w14:paraId="1FE89EC0" w14:textId="1C469D3F" w:rsidR="009F28CF" w:rsidRDefault="009F28CF" w:rsidP="009F28CF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Se busca una educación integral para cada uno de los alumnos, tal y como lo menciona el </w:t>
            </w:r>
            <w:r w:rsidRPr="009F28CF">
              <w:rPr>
                <w:shd w:val="clear" w:color="auto" w:fill="FFFFFF"/>
              </w:rPr>
              <w:t>Artículo 17 de la Ley General de Educación</w:t>
            </w:r>
            <w:r>
              <w:rPr>
                <w:shd w:val="clear" w:color="auto" w:fill="FFFFFF"/>
              </w:rPr>
              <w:t xml:space="preserve"> “L</w:t>
            </w:r>
            <w:r w:rsidRPr="009F28CF">
              <w:rPr>
                <w:shd w:val="clear" w:color="auto" w:fill="FFFFFF"/>
              </w:rPr>
              <w:t>a orientación integra en la nueva escuela mexicana comprende la formación para la vida de los educandos</w:t>
            </w:r>
            <w:r>
              <w:rPr>
                <w:shd w:val="clear" w:color="auto" w:fill="FFFFFF"/>
              </w:rPr>
              <w:t>”. Esto refiere directamente a la labor del maestro en su práctica en el aula, abarcar cada uno de los principios y valores en los que se ha establecido cada uno de los fines.</w:t>
            </w:r>
          </w:p>
          <w:p w14:paraId="7C76BCD3" w14:textId="3B628AC6" w:rsidR="00823819" w:rsidRPr="009F28CF" w:rsidRDefault="00823819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</w:p>
        </w:tc>
      </w:tr>
      <w:tr w:rsidR="000C4716" w14:paraId="63CC0287" w14:textId="77777777" w:rsidTr="000C4716">
        <w:trPr>
          <w:trHeight w:val="257"/>
        </w:trPr>
        <w:tc>
          <w:tcPr>
            <w:tcW w:w="9352" w:type="dxa"/>
          </w:tcPr>
          <w:p w14:paraId="071A9C22" w14:textId="1B337982" w:rsidR="000C4716" w:rsidRDefault="000C4716" w:rsidP="000C471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4.c</w:t>
            </w:r>
            <w:r w:rsidR="00823819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3819">
              <w:rPr>
                <w:b/>
                <w:bCs/>
                <w:color w:val="000000"/>
                <w:sz w:val="20"/>
              </w:rPr>
              <w:t>A</w:t>
            </w:r>
            <w:r w:rsidR="00823819">
              <w:rPr>
                <w:shd w:val="clear" w:color="auto" w:fill="FFFFFF"/>
              </w:rPr>
              <w:t>umentar sustancialmente la oferta de maestros calificados, entre otras cosas mediante la cooperación internacional para la formación de docentes en los países en desarrollo, especialmente los países menos adelantados y los pequeños Estados insulares en desarrollo</w:t>
            </w:r>
            <w:r w:rsidR="00823819">
              <w:rPr>
                <w:shd w:val="clear" w:color="auto" w:fill="FFFFFF"/>
              </w:rPr>
              <w:t>.</w:t>
            </w:r>
          </w:p>
          <w:p w14:paraId="3756123D" w14:textId="46A08E05" w:rsidR="009F28CF" w:rsidRPr="00AA4DE1" w:rsidRDefault="00AA4DE1" w:rsidP="000C4716">
            <w:pPr>
              <w:autoSpaceDE w:val="0"/>
              <w:autoSpaceDN w:val="0"/>
              <w:adjustRightInd w:val="0"/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Mantenerse siempre actualizados y en constante aprendizaje, los maestros y su carrera, establecido en el </w:t>
            </w:r>
            <w:r w:rsidRPr="00AA4DE1">
              <w:rPr>
                <w:shd w:val="clear" w:color="auto" w:fill="FFFFFF"/>
              </w:rPr>
              <w:t>Artículo 92</w:t>
            </w:r>
            <w:r>
              <w:rPr>
                <w:shd w:val="clear" w:color="auto" w:fill="FFFFFF"/>
              </w:rPr>
              <w:t xml:space="preserve"> de la LGE, dice que</w:t>
            </w:r>
            <w:r w:rsidRPr="00AA4DE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“</w:t>
            </w:r>
            <w:r w:rsidRPr="00AA4DE1">
              <w:rPr>
                <w:i/>
                <w:iCs/>
                <w:shd w:val="clear" w:color="auto" w:fill="FFFFFF"/>
              </w:rPr>
              <w:t>Las autoridades educativas, en sus respectivos ámbitos de competencia, constituirán el sistema integral de formación, capacitación y actualización, para que las maestras y los maestros ejerzan su derecho de acceder a éste, en términos de lo que determine la ley en materia de mejora continua de la educación.</w:t>
            </w:r>
            <w:r w:rsidRPr="00AA4DE1">
              <w:rPr>
                <w:i/>
                <w:iCs/>
                <w:shd w:val="clear" w:color="auto" w:fill="FFFFFF"/>
              </w:rPr>
              <w:t>”</w:t>
            </w:r>
          </w:p>
          <w:p w14:paraId="3D89A000" w14:textId="02E43039" w:rsidR="00823819" w:rsidRDefault="00823819" w:rsidP="000C471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489EFC7" w14:textId="77777777" w:rsidR="000C4716" w:rsidRDefault="000C4716" w:rsidP="000C471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AC06CFF" w14:textId="77777777" w:rsidR="000C4716" w:rsidRDefault="000C4716" w:rsidP="000C471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23226C53" w14:textId="2A03D8E4" w:rsidR="000C4716" w:rsidRDefault="009F28CF" w:rsidP="000C471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  <w:r>
        <w:rPr>
          <w:rFonts w:ascii="Montserrat-Bold" w:hAnsi="Montserrat-Bold" w:cs="Montserrat-Bold"/>
          <w:b/>
          <w:bCs/>
          <w:color w:val="231F20"/>
          <w:sz w:val="20"/>
          <w:szCs w:val="20"/>
        </w:rPr>
        <w:t>Referencias:</w:t>
      </w:r>
    </w:p>
    <w:p w14:paraId="70A468CF" w14:textId="51804E90" w:rsidR="009F28CF" w:rsidRPr="009F28CF" w:rsidRDefault="009F28CF" w:rsidP="000C471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color w:val="231F20"/>
          <w:sz w:val="20"/>
          <w:szCs w:val="20"/>
        </w:rPr>
      </w:pPr>
      <w:r w:rsidRPr="009F28CF">
        <w:rPr>
          <w:rFonts w:ascii="Montserrat-Bold" w:hAnsi="Montserrat-Bold" w:cs="Montserrat-Bold"/>
          <w:color w:val="231F20"/>
          <w:sz w:val="20"/>
          <w:szCs w:val="20"/>
        </w:rPr>
        <w:t>•</w:t>
      </w:r>
      <w:r w:rsidRPr="009F28CF">
        <w:rPr>
          <w:rFonts w:ascii="Montserrat-Bold" w:hAnsi="Montserrat-Bold" w:cs="Montserrat-Bold"/>
          <w:color w:val="231F20"/>
          <w:sz w:val="20"/>
          <w:szCs w:val="20"/>
        </w:rPr>
        <w:t xml:space="preserve"> </w:t>
      </w:r>
      <w:r w:rsidRPr="009F28CF">
        <w:rPr>
          <w:rFonts w:ascii="Montserrat-Bold" w:hAnsi="Montserrat-Bold" w:cs="Montserrat-Bold"/>
          <w:color w:val="231F20"/>
          <w:sz w:val="20"/>
          <w:szCs w:val="20"/>
        </w:rPr>
        <w:t>Ley General de Educación [LGE]. 13 de julio de 1993. (México). Obtenido de: http://www.diputados.gob.mx/LeyesBiblio/ref/lge.htm</w:t>
      </w:r>
    </w:p>
    <w:p w14:paraId="7AA25F07" w14:textId="30C269F8" w:rsidR="000C4716" w:rsidRDefault="000C4716" w:rsidP="000C4716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D681D78" w14:textId="0E3F5E49" w:rsidR="000C4716" w:rsidRDefault="000C4716" w:rsidP="000C4716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0669CED" w14:textId="61C2B324" w:rsidR="000C4716" w:rsidRDefault="000C4716" w:rsidP="009F28CF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55F532F" w14:textId="77777777" w:rsidR="009F28CF" w:rsidRPr="009F28CF" w:rsidRDefault="009F28CF" w:rsidP="009F28CF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42247632" w14:textId="77777777" w:rsidR="000C4716" w:rsidRPr="005034BA" w:rsidRDefault="000C4716" w:rsidP="000C4716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t>Rubrica.</w:t>
      </w:r>
    </w:p>
    <w:p w14:paraId="0BD73050" w14:textId="77777777" w:rsidR="000C4716" w:rsidRDefault="000C4716" w:rsidP="000C471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93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4"/>
        <w:gridCol w:w="1401"/>
        <w:gridCol w:w="149"/>
        <w:gridCol w:w="1395"/>
        <w:gridCol w:w="149"/>
        <w:gridCol w:w="1450"/>
        <w:gridCol w:w="152"/>
        <w:gridCol w:w="1452"/>
        <w:gridCol w:w="152"/>
        <w:gridCol w:w="1367"/>
        <w:gridCol w:w="163"/>
      </w:tblGrid>
      <w:tr w:rsidR="000C4716" w:rsidRPr="0060140F" w14:paraId="1D1A9456" w14:textId="77777777" w:rsidTr="000C4716">
        <w:trPr>
          <w:trHeight w:hRule="exact" w:val="9"/>
        </w:trPr>
        <w:tc>
          <w:tcPr>
            <w:tcW w:w="147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651FDD" w14:textId="77777777" w:rsidR="000C4716" w:rsidRPr="0060140F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8440F9" w14:textId="77777777" w:rsidR="000C4716" w:rsidRPr="003804C6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BD4236" w14:textId="77777777" w:rsidR="000C4716" w:rsidRPr="003804C6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A1DC79" w14:textId="77777777" w:rsidR="000C4716" w:rsidRPr="003804C6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93D30A" w14:textId="77777777" w:rsidR="000C4716" w:rsidRPr="003804C6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014129C" w14:textId="77777777" w:rsidR="000C4716" w:rsidRPr="003804C6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0C4716" w:rsidRPr="00F50B04" w14:paraId="62F25612" w14:textId="77777777" w:rsidTr="000C4716">
        <w:trPr>
          <w:trHeight w:val="29"/>
        </w:trPr>
        <w:tc>
          <w:tcPr>
            <w:tcW w:w="1472" w:type="dxa"/>
            <w:shd w:val="clear" w:color="auto" w:fill="auto"/>
            <w:vAlign w:val="center"/>
          </w:tcPr>
          <w:p w14:paraId="1FB95A6C" w14:textId="77777777" w:rsidR="000C4716" w:rsidRPr="0060140F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1408" w:type="dxa"/>
            <w:shd w:val="clear" w:color="auto" w:fill="auto"/>
          </w:tcPr>
          <w:p w14:paraId="24CEA4AC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1" w:type="dxa"/>
            <w:shd w:val="clear" w:color="auto" w:fill="auto"/>
          </w:tcPr>
          <w:p w14:paraId="2690203F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</w:tcPr>
          <w:p w14:paraId="0231C87D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150" w:type="dxa"/>
            <w:shd w:val="clear" w:color="auto" w:fill="auto"/>
          </w:tcPr>
          <w:p w14:paraId="4AE50E58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14:paraId="506422E2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154" w:type="dxa"/>
            <w:shd w:val="clear" w:color="auto" w:fill="auto"/>
          </w:tcPr>
          <w:p w14:paraId="2C9B0B93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5317C737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153" w:type="dxa"/>
            <w:shd w:val="clear" w:color="auto" w:fill="auto"/>
          </w:tcPr>
          <w:p w14:paraId="52426764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14:paraId="58853C12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167" w:type="dxa"/>
            <w:shd w:val="clear" w:color="auto" w:fill="auto"/>
          </w:tcPr>
          <w:p w14:paraId="0A5E6917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C4716" w:rsidRPr="00F50B04" w14:paraId="57EFC131" w14:textId="77777777" w:rsidTr="000C4716">
        <w:trPr>
          <w:trHeight w:val="11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CBA8" w14:textId="77777777" w:rsidR="000C4716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027D9AB7" w14:textId="77777777" w:rsidR="000C4716" w:rsidRPr="0060140F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82D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AF3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32A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682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5AC6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062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C39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829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723C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167" w:type="dxa"/>
            <w:shd w:val="clear" w:color="auto" w:fill="auto"/>
          </w:tcPr>
          <w:p w14:paraId="04A563BB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C4716" w:rsidRPr="00F50B04" w14:paraId="534A0D26" w14:textId="77777777" w:rsidTr="000C4716">
        <w:trPr>
          <w:trHeight w:val="38"/>
        </w:trPr>
        <w:tc>
          <w:tcPr>
            <w:tcW w:w="1472" w:type="dxa"/>
            <w:shd w:val="clear" w:color="auto" w:fill="auto"/>
            <w:vAlign w:val="center"/>
          </w:tcPr>
          <w:p w14:paraId="23D360D9" w14:textId="77777777" w:rsidR="000C4716" w:rsidRPr="0060140F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1408" w:type="dxa"/>
            <w:shd w:val="clear" w:color="auto" w:fill="auto"/>
          </w:tcPr>
          <w:p w14:paraId="7F373BD2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151" w:type="dxa"/>
            <w:shd w:val="clear" w:color="auto" w:fill="auto"/>
          </w:tcPr>
          <w:p w14:paraId="04FEE313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</w:tcPr>
          <w:p w14:paraId="415A0613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150" w:type="dxa"/>
            <w:shd w:val="clear" w:color="auto" w:fill="auto"/>
          </w:tcPr>
          <w:p w14:paraId="35A7ED41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14:paraId="0645B51A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154" w:type="dxa"/>
            <w:shd w:val="clear" w:color="auto" w:fill="auto"/>
          </w:tcPr>
          <w:p w14:paraId="3B415BCB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556B612C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153" w:type="dxa"/>
            <w:shd w:val="clear" w:color="auto" w:fill="auto"/>
          </w:tcPr>
          <w:p w14:paraId="137BBA71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14:paraId="0CAC3248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167" w:type="dxa"/>
            <w:shd w:val="clear" w:color="auto" w:fill="auto"/>
          </w:tcPr>
          <w:p w14:paraId="4511B498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C4716" w:rsidRPr="00F50B04" w14:paraId="68982EDF" w14:textId="77777777" w:rsidTr="000C4716">
        <w:trPr>
          <w:trHeight w:val="38"/>
        </w:trPr>
        <w:tc>
          <w:tcPr>
            <w:tcW w:w="1472" w:type="dxa"/>
            <w:shd w:val="clear" w:color="auto" w:fill="auto"/>
            <w:vAlign w:val="center"/>
          </w:tcPr>
          <w:p w14:paraId="5AE75427" w14:textId="77777777" w:rsidR="000C4716" w:rsidRPr="0060140F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1408" w:type="dxa"/>
            <w:shd w:val="clear" w:color="auto" w:fill="auto"/>
          </w:tcPr>
          <w:p w14:paraId="779444D7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151" w:type="dxa"/>
            <w:shd w:val="clear" w:color="auto" w:fill="auto"/>
          </w:tcPr>
          <w:p w14:paraId="0E21E2CC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</w:tcPr>
          <w:p w14:paraId="450654CC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150" w:type="dxa"/>
            <w:shd w:val="clear" w:color="auto" w:fill="auto"/>
          </w:tcPr>
          <w:p w14:paraId="1EEFE1CA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14:paraId="73B5C764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154" w:type="dxa"/>
            <w:shd w:val="clear" w:color="auto" w:fill="auto"/>
          </w:tcPr>
          <w:p w14:paraId="1FAF2C55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1E448D07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153" w:type="dxa"/>
            <w:shd w:val="clear" w:color="auto" w:fill="auto"/>
          </w:tcPr>
          <w:p w14:paraId="46E2F858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14:paraId="0C5E27A8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167" w:type="dxa"/>
            <w:shd w:val="clear" w:color="auto" w:fill="auto"/>
          </w:tcPr>
          <w:p w14:paraId="132409C9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C4716" w:rsidRPr="00F50B04" w14:paraId="0A86589F" w14:textId="77777777" w:rsidTr="000C4716">
        <w:trPr>
          <w:trHeight w:val="38"/>
        </w:trPr>
        <w:tc>
          <w:tcPr>
            <w:tcW w:w="1472" w:type="dxa"/>
            <w:shd w:val="clear" w:color="auto" w:fill="auto"/>
            <w:vAlign w:val="center"/>
          </w:tcPr>
          <w:p w14:paraId="314B0C76" w14:textId="77777777" w:rsidR="000C4716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1408" w:type="dxa"/>
            <w:shd w:val="clear" w:color="auto" w:fill="auto"/>
          </w:tcPr>
          <w:p w14:paraId="2729D07A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51" w:type="dxa"/>
            <w:shd w:val="clear" w:color="auto" w:fill="auto"/>
          </w:tcPr>
          <w:p w14:paraId="0A2FA859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</w:tcPr>
          <w:p w14:paraId="615A1182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150" w:type="dxa"/>
            <w:shd w:val="clear" w:color="auto" w:fill="auto"/>
          </w:tcPr>
          <w:p w14:paraId="575E8463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14:paraId="6009B3D6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154" w:type="dxa"/>
            <w:shd w:val="clear" w:color="auto" w:fill="auto"/>
          </w:tcPr>
          <w:p w14:paraId="6F450BD4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46E3C438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153" w:type="dxa"/>
            <w:shd w:val="clear" w:color="auto" w:fill="auto"/>
          </w:tcPr>
          <w:p w14:paraId="2AEB6A18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14:paraId="2451D4B7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167" w:type="dxa"/>
            <w:shd w:val="clear" w:color="auto" w:fill="auto"/>
          </w:tcPr>
          <w:p w14:paraId="725A3A95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C4716" w:rsidRPr="00F50B04" w14:paraId="35290B20" w14:textId="77777777" w:rsidTr="000C4716">
        <w:trPr>
          <w:trHeight w:val="29"/>
        </w:trPr>
        <w:tc>
          <w:tcPr>
            <w:tcW w:w="1472" w:type="dxa"/>
            <w:shd w:val="clear" w:color="auto" w:fill="auto"/>
            <w:vAlign w:val="center"/>
          </w:tcPr>
          <w:p w14:paraId="5F029437" w14:textId="77777777" w:rsidR="000C4716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00FCF4A0" w14:textId="77777777" w:rsidR="000C4716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14:paraId="03414E28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151" w:type="dxa"/>
            <w:shd w:val="clear" w:color="auto" w:fill="auto"/>
          </w:tcPr>
          <w:p w14:paraId="7B601890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</w:tcPr>
          <w:p w14:paraId="309B5551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150" w:type="dxa"/>
            <w:shd w:val="clear" w:color="auto" w:fill="auto"/>
          </w:tcPr>
          <w:p w14:paraId="5224DF76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14:paraId="6B9DA64E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54" w:type="dxa"/>
            <w:shd w:val="clear" w:color="auto" w:fill="auto"/>
          </w:tcPr>
          <w:p w14:paraId="1A01E285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555BB63F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53" w:type="dxa"/>
            <w:shd w:val="clear" w:color="auto" w:fill="auto"/>
          </w:tcPr>
          <w:p w14:paraId="3A6B75FD" w14:textId="77777777" w:rsidR="000C4716" w:rsidRPr="00686F8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14:paraId="479A425A" w14:textId="77777777" w:rsidR="000C4716" w:rsidRPr="00A57E48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67" w:type="dxa"/>
            <w:shd w:val="clear" w:color="auto" w:fill="auto"/>
          </w:tcPr>
          <w:p w14:paraId="03F04F90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C4716" w:rsidRPr="00F50B04" w14:paraId="777CEA1D" w14:textId="77777777" w:rsidTr="000C4716">
        <w:trPr>
          <w:trHeight w:val="12"/>
        </w:trPr>
        <w:tc>
          <w:tcPr>
            <w:tcW w:w="1472" w:type="dxa"/>
            <w:shd w:val="clear" w:color="auto" w:fill="auto"/>
            <w:vAlign w:val="center"/>
          </w:tcPr>
          <w:p w14:paraId="029C8CDE" w14:textId="77777777" w:rsidR="000C4716" w:rsidRPr="005034BA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lastRenderedPageBreak/>
              <w:t>REPUESTA A LA PREGUNTA.</w:t>
            </w:r>
          </w:p>
        </w:tc>
        <w:tc>
          <w:tcPr>
            <w:tcW w:w="1408" w:type="dxa"/>
            <w:shd w:val="clear" w:color="auto" w:fill="auto"/>
          </w:tcPr>
          <w:p w14:paraId="4AD4C3A4" w14:textId="77777777" w:rsidR="000C4716" w:rsidRPr="005034BA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151" w:type="dxa"/>
            <w:shd w:val="clear" w:color="auto" w:fill="auto"/>
          </w:tcPr>
          <w:p w14:paraId="5F623DC0" w14:textId="77777777" w:rsidR="000C4716" w:rsidRPr="005034BA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</w:tcPr>
          <w:p w14:paraId="56E7D10E" w14:textId="77777777" w:rsidR="000C4716" w:rsidRPr="005034BA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 xml:space="preserve">Se observa una postura clara en la repuesta pero las opiniones no están </w:t>
            </w:r>
            <w:proofErr w:type="gramStart"/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apoyada</w:t>
            </w:r>
            <w:proofErr w:type="gramEnd"/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 xml:space="preserve"> en documentos referenciados.</w:t>
            </w:r>
          </w:p>
        </w:tc>
        <w:tc>
          <w:tcPr>
            <w:tcW w:w="150" w:type="dxa"/>
            <w:shd w:val="clear" w:color="auto" w:fill="auto"/>
          </w:tcPr>
          <w:p w14:paraId="164BEBEB" w14:textId="77777777" w:rsidR="000C4716" w:rsidRPr="005034BA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</w:tcPr>
          <w:p w14:paraId="79A64413" w14:textId="77777777" w:rsidR="000C4716" w:rsidRPr="005034BA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154" w:type="dxa"/>
            <w:shd w:val="clear" w:color="auto" w:fill="auto"/>
          </w:tcPr>
          <w:p w14:paraId="7A8E8575" w14:textId="77777777" w:rsidR="000C4716" w:rsidRPr="005034BA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48A2E3BF" w14:textId="77777777" w:rsidR="000C4716" w:rsidRPr="005034BA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153" w:type="dxa"/>
            <w:shd w:val="clear" w:color="auto" w:fill="auto"/>
          </w:tcPr>
          <w:p w14:paraId="2C07F52C" w14:textId="77777777" w:rsidR="000C4716" w:rsidRPr="005034BA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14:paraId="48556A35" w14:textId="77777777" w:rsidR="000C4716" w:rsidRPr="005034BA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167" w:type="dxa"/>
            <w:shd w:val="clear" w:color="auto" w:fill="auto"/>
          </w:tcPr>
          <w:p w14:paraId="0FD84933" w14:textId="77777777" w:rsidR="000C4716" w:rsidRPr="002D387E" w:rsidRDefault="000C4716" w:rsidP="000C471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0E2E4A68" w14:textId="77777777" w:rsidR="000C4716" w:rsidRDefault="000C4716" w:rsidP="000C471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3CADFA41" w14:textId="1BAF7782" w:rsidR="000C4716" w:rsidRDefault="000C4716"/>
    <w:sectPr w:rsidR="000C4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16"/>
    <w:rsid w:val="000C4716"/>
    <w:rsid w:val="00391115"/>
    <w:rsid w:val="00823819"/>
    <w:rsid w:val="009F28CF"/>
    <w:rsid w:val="00AA4DE1"/>
    <w:rsid w:val="00B94180"/>
    <w:rsid w:val="00CF3AAD"/>
    <w:rsid w:val="00F8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FEF5"/>
  <w15:chartTrackingRefBased/>
  <w15:docId w15:val="{A55E7D04-607B-473A-AB6B-3716ED46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716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7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C4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1712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2</cp:revision>
  <dcterms:created xsi:type="dcterms:W3CDTF">2021-05-30T22:47:00Z</dcterms:created>
  <dcterms:modified xsi:type="dcterms:W3CDTF">2021-05-31T04:58:00Z</dcterms:modified>
</cp:coreProperties>
</file>