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6B3DC" w14:textId="77777777" w:rsidR="00DA14C5" w:rsidRPr="00D90D0C" w:rsidRDefault="00DA14C5" w:rsidP="00DA14C5">
      <w:pPr>
        <w:spacing w:line="276" w:lineRule="auto"/>
        <w:jc w:val="center"/>
        <w:rPr>
          <w:b/>
          <w:sz w:val="24"/>
        </w:rPr>
      </w:pPr>
      <w:r w:rsidRPr="00D90D0C">
        <w:rPr>
          <w:b/>
          <w:sz w:val="24"/>
        </w:rPr>
        <w:t>ESCUELA NORMAL DE EDUCACIÓN PREESCOLAR</w:t>
      </w:r>
    </w:p>
    <w:p w14:paraId="005EE654" w14:textId="77777777" w:rsidR="00DA14C5" w:rsidRPr="00D90D0C" w:rsidRDefault="00DA14C5" w:rsidP="00DA14C5">
      <w:pPr>
        <w:spacing w:line="276" w:lineRule="auto"/>
        <w:jc w:val="center"/>
        <w:rPr>
          <w:b/>
          <w:sz w:val="24"/>
        </w:rPr>
      </w:pPr>
      <w:r w:rsidRPr="00D90D0C">
        <w:rPr>
          <w:b/>
          <w:sz w:val="24"/>
        </w:rPr>
        <w:t>Licenciatura en educación preescolar</w:t>
      </w:r>
    </w:p>
    <w:p w14:paraId="53B6E21B" w14:textId="77777777" w:rsidR="00DA14C5" w:rsidRPr="00A6651A" w:rsidRDefault="00DA14C5" w:rsidP="00DA14C5">
      <w:pPr>
        <w:spacing w:line="276" w:lineRule="auto"/>
        <w:jc w:val="center"/>
        <w:rPr>
          <w:b/>
          <w:sz w:val="24"/>
          <w:lang w:val="pt-BR"/>
        </w:rPr>
      </w:pPr>
      <w:r w:rsidRPr="00A6651A">
        <w:rPr>
          <w:b/>
          <w:sz w:val="24"/>
          <w:lang w:val="pt-BR"/>
        </w:rPr>
        <w:t>Ciclo escolar 2020 – 2021</w:t>
      </w:r>
    </w:p>
    <w:p w14:paraId="2A0D0B7D" w14:textId="77777777" w:rsidR="00DA14C5" w:rsidRPr="00A6651A" w:rsidRDefault="00DA14C5" w:rsidP="00DA14C5">
      <w:pPr>
        <w:spacing w:line="276" w:lineRule="auto"/>
        <w:jc w:val="center"/>
        <w:rPr>
          <w:b/>
          <w:sz w:val="24"/>
          <w:lang w:val="pt-BR"/>
        </w:rPr>
      </w:pPr>
      <w:r w:rsidRPr="00A6651A">
        <w:rPr>
          <w:b/>
          <w:sz w:val="24"/>
          <w:lang w:val="pt-BR"/>
        </w:rPr>
        <w:t xml:space="preserve">Sexto semestre </w:t>
      </w:r>
    </w:p>
    <w:p w14:paraId="517E8EEE" w14:textId="77777777" w:rsidR="00DA14C5" w:rsidRPr="00A6651A" w:rsidRDefault="00DA14C5" w:rsidP="00DA14C5">
      <w:pPr>
        <w:spacing w:line="276" w:lineRule="auto"/>
        <w:jc w:val="center"/>
        <w:rPr>
          <w:sz w:val="24"/>
          <w:lang w:val="pt-BR"/>
        </w:rPr>
      </w:pPr>
      <w:r w:rsidRPr="00D90D0C">
        <w:rPr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BE0AF35" wp14:editId="75AE70AC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8129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5" y="21296"/>
                <wp:lineTo x="2133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E161A" w14:textId="77777777" w:rsidR="00DA14C5" w:rsidRPr="00A6651A" w:rsidRDefault="00DA14C5" w:rsidP="00DA14C5">
      <w:pPr>
        <w:spacing w:line="276" w:lineRule="auto"/>
        <w:rPr>
          <w:sz w:val="24"/>
          <w:lang w:val="pt-BR"/>
        </w:rPr>
      </w:pPr>
    </w:p>
    <w:p w14:paraId="0BE2D4E4" w14:textId="77777777" w:rsidR="00DA14C5" w:rsidRDefault="00DA14C5" w:rsidP="00DA14C5">
      <w:pPr>
        <w:pStyle w:val="Ttulo3"/>
        <w:spacing w:before="30" w:after="30" w:line="276" w:lineRule="auto"/>
        <w:ind w:left="60"/>
        <w:jc w:val="center"/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</w:pPr>
    </w:p>
    <w:p w14:paraId="180DE29B" w14:textId="77777777" w:rsidR="00DA14C5" w:rsidRPr="00977423" w:rsidRDefault="00DA14C5" w:rsidP="00DA14C5">
      <w:pPr>
        <w:pStyle w:val="Ttulo3"/>
        <w:spacing w:before="30" w:after="30" w:line="276" w:lineRule="auto"/>
        <w:ind w:left="60"/>
        <w:jc w:val="center"/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</w:pPr>
    </w:p>
    <w:p w14:paraId="17C0DC27" w14:textId="770A18C8" w:rsidR="00DA14C5" w:rsidRDefault="00DA14C5" w:rsidP="00DA14C5">
      <w:pPr>
        <w:pStyle w:val="Ttulo3"/>
        <w:spacing w:before="30" w:beforeAutospacing="0" w:after="30" w:afterAutospacing="0" w:line="276" w:lineRule="auto"/>
        <w:ind w:left="60"/>
        <w:jc w:val="right"/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</w:pPr>
      <w:proofErr w:type="spellStart"/>
      <w:r w:rsidRPr="00977423"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  <w:t>Actividad</w:t>
      </w:r>
      <w:proofErr w:type="spellEnd"/>
      <w:r w:rsidRPr="00977423"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  <w:t xml:space="preserve"> </w:t>
      </w:r>
      <w:r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  <w:t>no. 2.4</w:t>
      </w:r>
    </w:p>
    <w:p w14:paraId="3E4B047E" w14:textId="77777777" w:rsidR="00DA14C5" w:rsidRDefault="00DA14C5" w:rsidP="00DA14C5">
      <w:pPr>
        <w:pStyle w:val="Ttulo3"/>
        <w:spacing w:before="30" w:beforeAutospacing="0" w:after="30" w:afterAutospacing="0" w:line="276" w:lineRule="auto"/>
        <w:ind w:left="60"/>
        <w:rPr>
          <w:rFonts w:ascii="Arial" w:eastAsiaTheme="minorHAnsi" w:hAnsi="Arial" w:cs="Arial"/>
          <w:bCs w:val="0"/>
          <w:sz w:val="24"/>
          <w:szCs w:val="24"/>
          <w:u w:val="single"/>
          <w:lang w:val="pt-BR" w:eastAsia="en-US"/>
        </w:rPr>
      </w:pPr>
    </w:p>
    <w:p w14:paraId="62BAD7EF" w14:textId="77777777" w:rsidR="00DA14C5" w:rsidRPr="00D90D0C" w:rsidRDefault="00DA14C5" w:rsidP="00DA14C5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Curso:</w:t>
      </w:r>
      <w:r w:rsidRPr="00D90D0C">
        <w:rPr>
          <w:rFonts w:ascii="Arial" w:hAnsi="Arial" w:cs="Arial"/>
          <w:b w:val="0"/>
          <w:color w:val="000000"/>
          <w:sz w:val="24"/>
          <w:szCs w:val="24"/>
        </w:rPr>
        <w:t xml:space="preserve"> Bases legales y normativas de la educación básica</w:t>
      </w:r>
    </w:p>
    <w:p w14:paraId="34FACFDB" w14:textId="77777777" w:rsidR="00DA14C5" w:rsidRPr="00D90D0C" w:rsidRDefault="00DA14C5" w:rsidP="00DA14C5">
      <w:pPr>
        <w:spacing w:line="276" w:lineRule="auto"/>
        <w:jc w:val="center"/>
        <w:rPr>
          <w:sz w:val="24"/>
        </w:rPr>
      </w:pPr>
      <w:r w:rsidRPr="00D90D0C">
        <w:rPr>
          <w:b/>
          <w:sz w:val="24"/>
        </w:rPr>
        <w:t>Docente.</w:t>
      </w:r>
      <w:r w:rsidRPr="00D90D0C">
        <w:rPr>
          <w:sz w:val="24"/>
        </w:rPr>
        <w:t xml:space="preserve"> Arturo Flores Rodríguez</w:t>
      </w:r>
    </w:p>
    <w:p w14:paraId="1504CAD8" w14:textId="77777777" w:rsidR="00DA14C5" w:rsidRPr="00D90D0C" w:rsidRDefault="00DA14C5" w:rsidP="00DA14C5">
      <w:pPr>
        <w:spacing w:line="276" w:lineRule="auto"/>
        <w:jc w:val="center"/>
        <w:rPr>
          <w:sz w:val="24"/>
        </w:rPr>
      </w:pPr>
      <w:r w:rsidRPr="00D90D0C">
        <w:rPr>
          <w:b/>
          <w:sz w:val="24"/>
        </w:rPr>
        <w:t>Alumna</w:t>
      </w:r>
      <w:r>
        <w:rPr>
          <w:b/>
          <w:sz w:val="24"/>
        </w:rPr>
        <w:t>:</w:t>
      </w:r>
      <w:r w:rsidRPr="00D90D0C">
        <w:rPr>
          <w:sz w:val="24"/>
        </w:rPr>
        <w:t xml:space="preserve"> Daiva Ramírez Treviño    </w:t>
      </w:r>
      <w:proofErr w:type="spellStart"/>
      <w:r w:rsidRPr="00D90D0C">
        <w:rPr>
          <w:b/>
          <w:sz w:val="24"/>
        </w:rPr>
        <w:t>N°L</w:t>
      </w:r>
      <w:proofErr w:type="spellEnd"/>
      <w:r w:rsidRPr="00D90D0C">
        <w:rPr>
          <w:b/>
          <w:sz w:val="24"/>
        </w:rPr>
        <w:t>:</w:t>
      </w:r>
      <w:r w:rsidRPr="00D90D0C">
        <w:rPr>
          <w:sz w:val="24"/>
        </w:rPr>
        <w:t xml:space="preserve"> 15</w:t>
      </w:r>
      <w:r>
        <w:rPr>
          <w:sz w:val="24"/>
        </w:rPr>
        <w:t xml:space="preserve">                 </w:t>
      </w:r>
      <w:r w:rsidRPr="00D90D0C">
        <w:rPr>
          <w:sz w:val="24"/>
        </w:rPr>
        <w:t>3° “A”</w:t>
      </w:r>
    </w:p>
    <w:p w14:paraId="73E6827A" w14:textId="77777777" w:rsidR="00DA14C5" w:rsidRPr="007E6AFA" w:rsidRDefault="00DA14C5" w:rsidP="00DA14C5">
      <w:pPr>
        <w:spacing w:line="276" w:lineRule="auto"/>
        <w:jc w:val="center"/>
        <w:rPr>
          <w:b/>
          <w:bCs/>
          <w:sz w:val="24"/>
        </w:rPr>
      </w:pPr>
      <w:r w:rsidRPr="007E6AFA">
        <w:rPr>
          <w:b/>
          <w:bCs/>
          <w:sz w:val="24"/>
        </w:rPr>
        <w:t>UNIDAD II. Responsabilidades legales y éticos del quehacer profesional.</w:t>
      </w:r>
    </w:p>
    <w:p w14:paraId="6D28837F" w14:textId="77777777" w:rsidR="00DA14C5" w:rsidRPr="007E6AFA" w:rsidRDefault="00DA14C5" w:rsidP="00DA14C5">
      <w:pPr>
        <w:spacing w:line="276" w:lineRule="auto"/>
        <w:jc w:val="center"/>
        <w:rPr>
          <w:sz w:val="24"/>
        </w:rPr>
      </w:pPr>
    </w:p>
    <w:p w14:paraId="46497EAC" w14:textId="77777777" w:rsidR="00DA14C5" w:rsidRPr="007D06D5" w:rsidRDefault="00DA14C5" w:rsidP="00DA14C5">
      <w:pPr>
        <w:spacing w:line="276" w:lineRule="auto"/>
        <w:rPr>
          <w:sz w:val="24"/>
        </w:rPr>
      </w:pPr>
      <w:r w:rsidRPr="007D06D5">
        <w:rPr>
          <w:sz w:val="24"/>
        </w:rPr>
        <w:t>-</w:t>
      </w:r>
      <w:r w:rsidRPr="007D06D5">
        <w:rPr>
          <w:sz w:val="24"/>
        </w:rPr>
        <w:tab/>
        <w:t>Utiliza los recursos metodológicos y técnicos de la investigación para explicar, comprender situaciones educativas y mejorar su docencia.</w:t>
      </w:r>
    </w:p>
    <w:p w14:paraId="0C8D56BE" w14:textId="295F065D" w:rsidR="00DA14C5" w:rsidRPr="007D06D5" w:rsidRDefault="00DA14C5" w:rsidP="00DA14C5">
      <w:pPr>
        <w:spacing w:line="276" w:lineRule="auto"/>
        <w:rPr>
          <w:sz w:val="24"/>
        </w:rPr>
      </w:pPr>
      <w:r w:rsidRPr="007D06D5">
        <w:rPr>
          <w:sz w:val="24"/>
        </w:rPr>
        <w:t>-</w:t>
      </w:r>
      <w:r w:rsidRPr="007D06D5">
        <w:rPr>
          <w:sz w:val="24"/>
        </w:rPr>
        <w:tab/>
        <w:t xml:space="preserve">Actúa de manera ética ante la diversidad de situaciones que se presentan en la </w:t>
      </w:r>
      <w:r w:rsidRPr="007D06D5">
        <w:rPr>
          <w:sz w:val="24"/>
        </w:rPr>
        <w:t>práctica</w:t>
      </w:r>
      <w:r w:rsidRPr="007D06D5">
        <w:rPr>
          <w:sz w:val="24"/>
        </w:rPr>
        <w:t xml:space="preserve"> profesional.</w:t>
      </w:r>
    </w:p>
    <w:p w14:paraId="25456ABA" w14:textId="77777777" w:rsidR="00DA14C5" w:rsidRPr="007D06D5" w:rsidRDefault="00DA14C5" w:rsidP="00DA14C5">
      <w:pPr>
        <w:spacing w:line="276" w:lineRule="auto"/>
        <w:rPr>
          <w:sz w:val="24"/>
        </w:rPr>
      </w:pPr>
      <w:r w:rsidRPr="007D06D5">
        <w:rPr>
          <w:sz w:val="24"/>
        </w:rPr>
        <w:t>-</w:t>
      </w:r>
      <w:r w:rsidRPr="007D06D5">
        <w:rPr>
          <w:sz w:val="24"/>
        </w:rPr>
        <w:tab/>
        <w:t xml:space="preserve">Orienta su actuación profesional con sentido ético- valorar y asume los diversos principios y reglas que aseguran una mejor convivencia institucional y social, en beneficio de los alumnos y de la comunidad escolar. </w:t>
      </w:r>
    </w:p>
    <w:p w14:paraId="731C21C8" w14:textId="77777777" w:rsidR="00DA14C5" w:rsidRPr="007D06D5" w:rsidRDefault="00DA14C5" w:rsidP="00DA14C5">
      <w:pPr>
        <w:spacing w:line="276" w:lineRule="auto"/>
        <w:rPr>
          <w:sz w:val="24"/>
        </w:rPr>
      </w:pPr>
      <w:r w:rsidRPr="007D06D5">
        <w:rPr>
          <w:sz w:val="24"/>
        </w:rPr>
        <w:t>-</w:t>
      </w:r>
      <w:r w:rsidRPr="007D06D5">
        <w:rPr>
          <w:sz w:val="24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14:paraId="1948E90C" w14:textId="77777777" w:rsidR="00DA14C5" w:rsidRDefault="00DA14C5" w:rsidP="00DA14C5">
      <w:pPr>
        <w:spacing w:line="276" w:lineRule="auto"/>
        <w:rPr>
          <w:sz w:val="24"/>
        </w:rPr>
      </w:pPr>
      <w:r w:rsidRPr="007D06D5">
        <w:rPr>
          <w:sz w:val="24"/>
        </w:rPr>
        <w:t>-</w:t>
      </w:r>
      <w:r w:rsidRPr="007D06D5">
        <w:rPr>
          <w:sz w:val="24"/>
        </w:rPr>
        <w:tab/>
        <w:t>Decide las estrategias pedagógicas para minimizar o eliminar las barreras para el aprendizaje y la participación, asegurando una educación inclusiva.</w:t>
      </w:r>
    </w:p>
    <w:p w14:paraId="1D2140B6" w14:textId="77777777" w:rsidR="00DA14C5" w:rsidRPr="007E6AFA" w:rsidRDefault="00DA14C5" w:rsidP="00DA14C5">
      <w:pPr>
        <w:spacing w:line="276" w:lineRule="auto"/>
        <w:rPr>
          <w:sz w:val="24"/>
        </w:rPr>
      </w:pPr>
    </w:p>
    <w:p w14:paraId="1FBC474F" w14:textId="77777777" w:rsidR="00DA14C5" w:rsidRPr="00D90D0C" w:rsidRDefault="00DA14C5" w:rsidP="00DA14C5">
      <w:pPr>
        <w:spacing w:line="276" w:lineRule="auto"/>
        <w:jc w:val="center"/>
        <w:rPr>
          <w:vanish/>
          <w:sz w:val="24"/>
          <w:lang w:eastAsia="es-MX"/>
        </w:rPr>
      </w:pPr>
    </w:p>
    <w:p w14:paraId="1508563A" w14:textId="77777777" w:rsidR="00DA14C5" w:rsidRDefault="00DA14C5" w:rsidP="00DA14C5">
      <w:pPr>
        <w:spacing w:line="276" w:lineRule="auto"/>
        <w:jc w:val="center"/>
        <w:rPr>
          <w:sz w:val="24"/>
          <w:lang w:eastAsia="es-MX"/>
        </w:rPr>
      </w:pPr>
      <w:r>
        <w:rPr>
          <w:vanish/>
          <w:sz w:val="24"/>
          <w:lang w:eastAsia="es-MX"/>
        </w:rPr>
        <w:t>19 de1</w:t>
      </w:r>
      <w:r w:rsidRPr="00D90D0C">
        <w:rPr>
          <w:sz w:val="24"/>
          <w:lang w:eastAsia="es-MX"/>
        </w:rPr>
        <w:t xml:space="preserve"> </w:t>
      </w:r>
      <w:r>
        <w:rPr>
          <w:sz w:val="24"/>
          <w:lang w:eastAsia="es-MX"/>
        </w:rPr>
        <w:t>24 de mayo d</w:t>
      </w:r>
      <w:r w:rsidRPr="00D90D0C">
        <w:rPr>
          <w:sz w:val="24"/>
          <w:lang w:eastAsia="es-MX"/>
        </w:rPr>
        <w:t>el 2021                                                    Saltillo, Coahuila.</w:t>
      </w:r>
    </w:p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2.4</w:t>
      </w:r>
      <w:r w:rsidR="007A1F24" w:rsidRPr="00E91B19">
        <w:rPr>
          <w:b/>
          <w:szCs w:val="20"/>
        </w:rPr>
        <w:t>.</w:t>
      </w:r>
    </w:p>
    <w:p w14:paraId="4C52ED00" w14:textId="0BD6E52B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14:paraId="069F59F9" w14:textId="77777777" w:rsidTr="005034BA">
        <w:tc>
          <w:tcPr>
            <w:tcW w:w="4414" w:type="dxa"/>
          </w:tcPr>
          <w:p w14:paraId="00083AC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5034BA">
        <w:tc>
          <w:tcPr>
            <w:tcW w:w="4414" w:type="dxa"/>
          </w:tcPr>
          <w:p w14:paraId="2A4B4E5F" w14:textId="77777777" w:rsidR="005034BA" w:rsidRPr="007E6E5F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1DCE9906" w:rsidR="005034BA" w:rsidRDefault="0093669B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Se busca tener una igualdad de oportunidades, como menciona la fracción VIII del artículo 16 de la Ley General de la Educación la educación </w:t>
            </w:r>
            <w:r w:rsidR="00D21EFA"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“Será intercultural, promover la convivencia armónica entre personas y comunidades sobre la base del respeto a sus diferentes concepciones, opiniones, tradiciones, costumbres y modos de vida y del reconocimiento de sus derechos, en un marco de inclusión social;” Todos tenemos derecho a una educación de calidad, sin excepción alguna</w:t>
            </w:r>
          </w:p>
        </w:tc>
      </w:tr>
      <w:tr w:rsidR="005034BA" w14:paraId="51747BB2" w14:textId="77777777" w:rsidTr="005034BA">
        <w:tc>
          <w:tcPr>
            <w:tcW w:w="4414" w:type="dxa"/>
          </w:tcPr>
          <w:p w14:paraId="371583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1B8ED455" w14:textId="48A6B4A5" w:rsidR="00D21EFA" w:rsidRDefault="00D21EFA" w:rsidP="00D21EFA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Vivimos en una sociedad con diversidad cultural. Debemos conocerlas para apreciarlas y tener una comprensión mutua. </w:t>
            </w:r>
            <w:r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La UNESCO declara que “la cultura, en su rica diversidad, posee un valor intrínseco</w:t>
            </w:r>
            <w:r w:rsid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tanto para el desarrollo como para la cohesión social y la paz. La diversidad cultural</w:t>
            </w:r>
            <w:r w:rsid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es una fuerza motriz del desarrollo, no sólo en lo que respecta al crecimiento</w:t>
            </w:r>
            <w:r w:rsid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económico, sino como medio de tener una vida intelectual, afectiva, moral y</w:t>
            </w:r>
            <w:r w:rsid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1EFA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espiritual más enriquecedora.”</w:t>
            </w:r>
          </w:p>
        </w:tc>
      </w:tr>
      <w:tr w:rsidR="005034BA" w14:paraId="45AD3C06" w14:textId="77777777" w:rsidTr="005034BA">
        <w:tc>
          <w:tcPr>
            <w:tcW w:w="4414" w:type="dxa"/>
          </w:tcPr>
          <w:p w14:paraId="7CBA4C0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6924D53" w14:textId="6B4331B5" w:rsidR="009476C0" w:rsidRDefault="009476C0" w:rsidP="00DA14C5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Según </w:t>
            </w:r>
            <w:r w:rsidRP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la fracción 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IV</w:t>
            </w:r>
            <w:r w:rsidRP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del artículo 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5</w:t>
            </w:r>
            <w:r w:rsidRP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de la Ley General de la Educación la 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educación se debe “</w:t>
            </w:r>
            <w:r w:rsidRP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Fomentar el amor a la Patria, el aprecio por sus culturas, el conocimiento de su historia y el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6C0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compromiso con los valores, símbolos patrios y las instituciones nacionales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” Con la finalidad de crear </w:t>
            </w:r>
            <w:r w:rsidR="00DA14C5" w:rsidRP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ciudadanos libres, participativos,</w:t>
            </w:r>
            <w:r w:rsid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14C5" w:rsidRP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responsables e informados; capaces de ejercer y defender sus derechos; que</w:t>
            </w:r>
            <w:r w:rsid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14C5" w:rsidRP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participen activamente en la vida social, económica y política </w:t>
            </w:r>
            <w:r w:rsidR="00DA14C5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de México. </w:t>
            </w:r>
          </w:p>
        </w:tc>
      </w:tr>
    </w:tbl>
    <w:p w14:paraId="21E487FA" w14:textId="4C84831A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2A65922" w14:textId="12B63B48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40CE908" w14:textId="2E54DABC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8581779" w14:textId="368920C6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45BB1F06" w14:textId="36A213E1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2E16B65" w14:textId="1CE1AE34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8E4B053" w14:textId="184D29CF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6349B2E1" w14:textId="1D6042EC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0F421C4" w14:textId="00C0215E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65CCB95C" w14:textId="79EFF0AF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4F17552" w14:textId="3E2E7520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501828" w14:textId="76BB6D9A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F689A32" w14:textId="3AF01D59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8A2A71D" w14:textId="77777777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lastRenderedPageBreak/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7F0DF4BF" w14:textId="77777777" w:rsidR="005034BA" w:rsidRDefault="00D83A9B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8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Responsabilidades de las maestras y los maestros en el cumplimiento de las metas de la Declaración de Incheon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671891F1" w14:textId="0AA4B9AC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  <w:r w:rsidR="00B53CD3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Que todas las niñas y niños terminen los ciclos de la enseñanza primaria y secundaria, que ha de ser gratuita, equitativa y de calidad y producir resultados escolares pertinentes y eficaces. 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(Disminuir la deserción: Dar facilidades como que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la educación 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sea gratuita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, equitativa y de calidad para que los niños no se vean orillados a dejar los estudios, sin embargo, se deja de lado la necesidad económica. Muchos niños y niñas en México dejan sus estudios para apoyar a la economía familia. Por lo cual se debe generar un apoyo a aquellas personas cuyo caso es el mencionado) </w:t>
            </w:r>
          </w:p>
        </w:tc>
      </w:tr>
      <w:tr w:rsidR="005034BA" w14:paraId="2EDDD3F8" w14:textId="77777777" w:rsidTr="005034BA">
        <w:tc>
          <w:tcPr>
            <w:tcW w:w="13887" w:type="dxa"/>
          </w:tcPr>
          <w:p w14:paraId="050BC053" w14:textId="619FEB44" w:rsidR="005034BA" w:rsidRDefault="005034BA" w:rsidP="007A2BFF">
            <w:pPr>
              <w:tabs>
                <w:tab w:val="center" w:pos="6835"/>
              </w:tabs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4.2.</w:t>
            </w:r>
            <w:r w:rsidR="00B53CD3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Que tengan servicio de atención y desarrollo</w:t>
            </w:r>
            <w:r w:rsidR="00734E6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en la primera infancia y a una enseñanza preescolar de calidad, con el fin de estar preparados para la enseñanza primaria. 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(Darle el peso que se merece a este nivel, siendo una obligación)</w:t>
            </w:r>
            <w:r w:rsidR="007A2BF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5034BA" w14:paraId="65BCB022" w14:textId="77777777" w:rsidTr="005034BA">
        <w:tc>
          <w:tcPr>
            <w:tcW w:w="13887" w:type="dxa"/>
          </w:tcPr>
          <w:p w14:paraId="0F19A431" w14:textId="08DC01F0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734E6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66E0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Eliminar las disparidades de género en la educación y garantizar la igualdad de las personas vulnerables (incluidas las personas con discapacidad pueblos indígenas y niños en situaciones de vulnerabilidad) a todos los niveles de la enseñanza y la formación profesional. 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I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gualdad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: desde implementación en el aula como en a la institución creando un ambiente apto para que esto se dé.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034BA" w14:paraId="1D611806" w14:textId="77777777" w:rsidTr="005034BA">
        <w:tc>
          <w:tcPr>
            <w:tcW w:w="13887" w:type="dxa"/>
          </w:tcPr>
          <w:p w14:paraId="12BDFB5F" w14:textId="6A71B42A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666E0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F5A3D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G</w:t>
            </w:r>
            <w:r w:rsidR="00666E0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arantizar que todos los alumnos adquieran los conocimientos teóricos y prácticos necesarios para promover el desarrollo sostenible y un estilo de vida sostenible, de una cultura de paz y no violencia</w:t>
            </w:r>
            <w:r w:rsidR="008F5A3D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, la ciudadanía mundial y la valoración de la diversidad cultural y de la contribución a la cultura al desarrollo sostenible.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nseñar para la vida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: dejar de lado lo memorístico y educar conforme a las necesidades y situación actual. Enfocándonos en la educación socioemocional y bienestar del alumno.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30E34D9C" w14:textId="48A85CF4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  <w:r w:rsidR="008F5A3D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Aumentar la oferta de maestros calificados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, mediante la cooperación internacional para la formación de docentes sobre todo en países menos adelantados y pequeños. Estados insulares en desarrollo (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M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ás maestros capacitas en zonas remotas</w:t>
            </w:r>
            <w:r w:rsidR="00A6680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: crear una educación normalista conforme a las necesidades de la sociedad y actual; donde se creen docentes capaces de enfrentar retos. Además de abarcar más zonas marginadas. </w:t>
            </w:r>
            <w:r w:rsidR="00C8648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7D165BAE" w14:textId="02F1DDD4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3D7BCC6" w14:textId="5671B898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3C386B1" w14:textId="5F132E95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DEEF4C0" w14:textId="533055CC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00584A41" w14:textId="56255C9B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25E7A9A" w14:textId="2D925B6F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CA83F8" w14:textId="0E35A859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B881D59" w14:textId="6FDAAFF4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FB99063" w14:textId="77777777" w:rsidR="00DA14C5" w:rsidRDefault="00DA14C5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lastRenderedPageBreak/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69B51FEA" w14:textId="0CE51F21" w:rsidR="008A44E3" w:rsidRDefault="008A44E3" w:rsidP="00677DE9">
      <w:bookmarkStart w:id="0" w:name="_GoBack"/>
      <w:bookmarkEnd w:id="0"/>
    </w:p>
    <w:sectPr w:rsidR="008A44E3" w:rsidSect="00DA14C5">
      <w:pgSz w:w="15840" w:h="12240" w:orient="landscape"/>
      <w:pgMar w:top="993" w:right="1417" w:bottom="1701" w:left="567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82AD" w14:textId="77777777" w:rsidR="00D83A9B" w:rsidRDefault="00D83A9B" w:rsidP="007A2BFF">
      <w:r>
        <w:separator/>
      </w:r>
    </w:p>
  </w:endnote>
  <w:endnote w:type="continuationSeparator" w:id="0">
    <w:p w14:paraId="0123F985" w14:textId="77777777" w:rsidR="00D83A9B" w:rsidRDefault="00D83A9B" w:rsidP="007A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2586" w14:textId="77777777" w:rsidR="00D83A9B" w:rsidRDefault="00D83A9B" w:rsidP="007A2BFF">
      <w:r>
        <w:separator/>
      </w:r>
    </w:p>
  </w:footnote>
  <w:footnote w:type="continuationSeparator" w:id="0">
    <w:p w14:paraId="15D293B1" w14:textId="77777777" w:rsidR="00D83A9B" w:rsidRDefault="00D83A9B" w:rsidP="007A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3F0AFF"/>
    <w:rsid w:val="005034BA"/>
    <w:rsid w:val="00666E0B"/>
    <w:rsid w:val="00677DE9"/>
    <w:rsid w:val="00734E6C"/>
    <w:rsid w:val="007704D8"/>
    <w:rsid w:val="007A1F24"/>
    <w:rsid w:val="007A2BFF"/>
    <w:rsid w:val="008A44E3"/>
    <w:rsid w:val="008F5A3D"/>
    <w:rsid w:val="0093669B"/>
    <w:rsid w:val="009476C0"/>
    <w:rsid w:val="00972888"/>
    <w:rsid w:val="00A6500F"/>
    <w:rsid w:val="00A66806"/>
    <w:rsid w:val="00B07100"/>
    <w:rsid w:val="00B53CD3"/>
    <w:rsid w:val="00C056CD"/>
    <w:rsid w:val="00C86481"/>
    <w:rsid w:val="00D21EFA"/>
    <w:rsid w:val="00D83A9B"/>
    <w:rsid w:val="00DA14C5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DA14C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BFF"/>
    <w:rPr>
      <w:rFonts w:ascii="Arial" w:eastAsia="Times New Roman" w:hAnsi="Arial" w:cs="Arial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A2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BFF"/>
    <w:rPr>
      <w:rFonts w:ascii="Arial" w:eastAsia="Times New Roman" w:hAnsi="Arial" w:cs="Arial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14C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45656_s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1443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daiva ramirez treviño</cp:lastModifiedBy>
  <cp:revision>4</cp:revision>
  <dcterms:created xsi:type="dcterms:W3CDTF">2021-05-31T00:31:00Z</dcterms:created>
  <dcterms:modified xsi:type="dcterms:W3CDTF">2021-05-31T03:30:00Z</dcterms:modified>
</cp:coreProperties>
</file>