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C3A3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14:paraId="52A542EB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Licenciatura en educación preescolar </w:t>
      </w:r>
    </w:p>
    <w:p w14:paraId="29051135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Sexto semestre </w:t>
      </w:r>
    </w:p>
    <w:p w14:paraId="4271DDF1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Ciclo escolar </w:t>
      </w:r>
    </w:p>
    <w:p w14:paraId="255C4F87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</w:t>
      </w:r>
    </w:p>
    <w:p w14:paraId="6163B3E0" w14:textId="77777777" w:rsidR="00364E6C" w:rsidRDefault="00364E6C" w:rsidP="00364E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F73287" wp14:editId="265A2243">
            <wp:extent cx="981075" cy="128587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9" t="13454" r="22087" b="1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D4E" w14:textId="77777777" w:rsidR="00364E6C" w:rsidRDefault="00364E6C" w:rsidP="00364E6C">
      <w:pPr>
        <w:jc w:val="center"/>
        <w:rPr>
          <w:rFonts w:ascii="Times New Roman" w:hAnsi="Times New Roman" w:cs="Times New Roman"/>
          <w:sz w:val="24"/>
        </w:rPr>
      </w:pPr>
    </w:p>
    <w:p w14:paraId="7FEBE682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Curso.</w:t>
      </w:r>
      <w:r>
        <w:rPr>
          <w:rFonts w:ascii="Times New Roman" w:hAnsi="Times New Roman" w:cs="Times New Roman"/>
          <w:sz w:val="24"/>
        </w:rPr>
        <w:t xml:space="preserve"> Bases legales y normativas de la educación básica.</w:t>
      </w:r>
    </w:p>
    <w:p w14:paraId="17F70CE1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Titular.</w:t>
      </w:r>
      <w:r>
        <w:rPr>
          <w:rFonts w:ascii="Times New Roman" w:hAnsi="Times New Roman" w:cs="Times New Roman"/>
          <w:sz w:val="24"/>
        </w:rPr>
        <w:t xml:space="preserve"> Arturo Flores Rodríguez.</w:t>
      </w:r>
    </w:p>
    <w:p w14:paraId="7BB5CCC1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87D1116" w14:textId="5AA8CF96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Actividad 2.</w:t>
      </w:r>
      <w:r>
        <w:rPr>
          <w:rFonts w:ascii="Times New Roman" w:hAnsi="Times New Roman" w:cs="Times New Roman"/>
          <w:b/>
          <w:bCs/>
          <w:sz w:val="24"/>
        </w:rPr>
        <w:t>4</w:t>
      </w:r>
    </w:p>
    <w:p w14:paraId="7EC146AD" w14:textId="77777777" w:rsidR="00364E6C" w:rsidRDefault="00364E6C" w:rsidP="00364E6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7C154E8" w14:textId="77777777" w:rsidR="00364E6C" w:rsidRDefault="00364E6C" w:rsidP="00364E6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Unidad de aprendizaje II.</w:t>
      </w:r>
      <w:r>
        <w:rPr>
          <w:rFonts w:ascii="Times New Roman" w:hAnsi="Times New Roman" w:cs="Times New Roman"/>
          <w:bCs/>
          <w:sz w:val="24"/>
        </w:rPr>
        <w:t xml:space="preserve"> Responsabilidades legales y éticos del quehacer profesional.</w:t>
      </w:r>
    </w:p>
    <w:p w14:paraId="2EE31E13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Competencias profesionales.</w:t>
      </w:r>
    </w:p>
    <w:p w14:paraId="5A0597EA" w14:textId="77777777" w:rsidR="00364E6C" w:rsidRDefault="00364E6C" w:rsidP="00364E6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23A1E41F" w14:textId="77777777" w:rsidR="00364E6C" w:rsidRDefault="00364E6C" w:rsidP="00364E6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Actúa de manera ética ante la diversidad de situaciones que se presentan en la práctica profesional.</w:t>
      </w:r>
    </w:p>
    <w:p w14:paraId="14B93342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FF03515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D3132C1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Presentado por la alumna</w:t>
      </w:r>
    </w:p>
    <w:p w14:paraId="437504EF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Vannessa Jannette Solis Aldape #19</w:t>
      </w:r>
    </w:p>
    <w:p w14:paraId="7B4B1119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Grado</w:t>
      </w:r>
      <w:r>
        <w:rPr>
          <w:rFonts w:ascii="Times New Roman" w:hAnsi="Times New Roman" w:cs="Times New Roman"/>
          <w:bCs/>
          <w:sz w:val="24"/>
        </w:rPr>
        <w:t xml:space="preserve"> 3º </w:t>
      </w:r>
      <w:r>
        <w:rPr>
          <w:rFonts w:ascii="Times New Roman" w:hAnsi="Times New Roman" w:cs="Times New Roman"/>
          <w:b/>
          <w:sz w:val="24"/>
        </w:rPr>
        <w:t xml:space="preserve">Sección </w:t>
      </w:r>
      <w:r>
        <w:rPr>
          <w:rFonts w:ascii="Times New Roman" w:hAnsi="Times New Roman" w:cs="Times New Roman"/>
          <w:bCs/>
          <w:sz w:val="24"/>
        </w:rPr>
        <w:t>B</w:t>
      </w:r>
    </w:p>
    <w:p w14:paraId="09DBE8D7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14:paraId="54804437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14:paraId="57C5D017" w14:textId="77777777" w:rsidR="00364E6C" w:rsidRDefault="00364E6C" w:rsidP="00364E6C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14:paraId="0D3E095A" w14:textId="1DAEF053" w:rsidR="00364E6C" w:rsidRDefault="00364E6C" w:rsidP="00364E6C">
      <w:pPr>
        <w:spacing w:line="360" w:lineRule="auto"/>
        <w:rPr>
          <w:rFonts w:ascii="Times New Roman" w:hAnsi="Times New Roman" w:cs="Times New Roman"/>
          <w:bCs/>
          <w:sz w:val="24"/>
        </w:rPr>
        <w:sectPr w:rsidR="00364E6C" w:rsidSect="00402EF3">
          <w:pgSz w:w="12240" w:h="15840"/>
          <w:pgMar w:top="1417" w:right="1701" w:bottom="567" w:left="993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</w:rPr>
        <w:t xml:space="preserve">Saltillo, Coah.                                                                                    24 de mayo del 2021   </w:t>
      </w:r>
    </w:p>
    <w:p w14:paraId="3E8ABB50" w14:textId="6B40B8DD" w:rsidR="005034BA" w:rsidRPr="00364E6C" w:rsidRDefault="005034BA" w:rsidP="00364E6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4E6C" w:rsidRDefault="005034BA" w:rsidP="00364E6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4"/>
        </w:rPr>
      </w:pPr>
      <w:r w:rsidRPr="00364E6C">
        <w:rPr>
          <w:rFonts w:ascii="Times New Roman" w:hAnsi="Times New Roman" w:cs="Times New Roman"/>
          <w:color w:val="231F20"/>
          <w:sz w:val="24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:rsidRPr="00364E6C" w14:paraId="069F59F9" w14:textId="77777777" w:rsidTr="005034BA">
        <w:tc>
          <w:tcPr>
            <w:tcW w:w="4414" w:type="dxa"/>
          </w:tcPr>
          <w:p w14:paraId="00083AC1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64E6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64E6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Tu explicación</w:t>
            </w:r>
          </w:p>
        </w:tc>
      </w:tr>
      <w:tr w:rsidR="005034BA" w:rsidRPr="00364E6C" w14:paraId="742E80F1" w14:textId="77777777" w:rsidTr="005034BA">
        <w:tc>
          <w:tcPr>
            <w:tcW w:w="4414" w:type="dxa"/>
          </w:tcPr>
          <w:p w14:paraId="2A4B4E5F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364E6C">
              <w:rPr>
                <w:rFonts w:ascii="Times New Roman" w:hAnsi="Times New Roman" w:cs="Times New Roman"/>
                <w:b/>
                <w:bCs/>
                <w:color w:val="231F20"/>
                <w:sz w:val="24"/>
              </w:rPr>
              <w:t xml:space="preserve">Desafío 1: </w:t>
            </w:r>
            <w:r w:rsidRPr="00364E6C">
              <w:rPr>
                <w:rFonts w:ascii="Times New Roman" w:hAnsi="Times New Roman" w:cs="Times New Roman"/>
                <w:color w:val="231F20"/>
                <w:sz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4E8520AC" w14:textId="04C22DE9" w:rsidR="005034BA" w:rsidRDefault="009501FD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01FD">
              <w:rPr>
                <w:rFonts w:ascii="Times New Roman" w:hAnsi="Times New Roman" w:cs="Times New Roman"/>
                <w:color w:val="000000"/>
                <w:sz w:val="24"/>
              </w:rPr>
              <w:t>En nuestro país se deberían mejorar las condiciones educativas para todos, es decir para los niños y jóvenes que estén inmersos en un sistema educativo, esto ser</w:t>
            </w:r>
            <w:r w:rsidR="007703CC">
              <w:rPr>
                <w:rFonts w:ascii="Times New Roman" w:hAnsi="Times New Roman" w:cs="Times New Roman"/>
                <w:color w:val="000000"/>
                <w:sz w:val="24"/>
              </w:rPr>
              <w:t>í</w:t>
            </w:r>
            <w:r w:rsidRPr="009501FD">
              <w:rPr>
                <w:rFonts w:ascii="Times New Roman" w:hAnsi="Times New Roman" w:cs="Times New Roman"/>
                <w:color w:val="000000"/>
                <w:sz w:val="24"/>
              </w:rPr>
              <w:t xml:space="preserve">a de suma importancia para tener una igualdad de oportunidades para todos y que todos gocen de una educación igualitaria. </w:t>
            </w:r>
          </w:p>
          <w:p w14:paraId="260A4CBC" w14:textId="4EDC9088" w:rsidR="007703CC" w:rsidRPr="009501FD" w:rsidRDefault="007703CC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También seria importante fijar nuestra atención a las personas que son consideradas como gente vulnerable y fijar esta igualdad en las personas de bajos recursos, de esta manera toda esta situación seria mas justa y realmente seria equitativa. </w:t>
            </w:r>
          </w:p>
        </w:tc>
      </w:tr>
      <w:tr w:rsidR="005034BA" w:rsidRPr="00364E6C" w14:paraId="51747BB2" w14:textId="77777777" w:rsidTr="005034BA">
        <w:tc>
          <w:tcPr>
            <w:tcW w:w="4414" w:type="dxa"/>
          </w:tcPr>
          <w:p w14:paraId="371583AE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364E6C">
              <w:rPr>
                <w:rFonts w:ascii="Times New Roman" w:hAnsi="Times New Roman" w:cs="Times New Roman"/>
                <w:b/>
                <w:bCs/>
                <w:color w:val="231F20"/>
                <w:sz w:val="24"/>
              </w:rPr>
              <w:t xml:space="preserve">Desafío 2: </w:t>
            </w:r>
            <w:r w:rsidRPr="00364E6C">
              <w:rPr>
                <w:rFonts w:ascii="Times New Roman" w:hAnsi="Times New Roman" w:cs="Times New Roman"/>
                <w:color w:val="231F20"/>
                <w:sz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</w:tcPr>
          <w:p w14:paraId="28DECD06" w14:textId="5A88115E" w:rsidR="007703CC" w:rsidRDefault="007703CC" w:rsidP="00770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03CC">
              <w:rPr>
                <w:rFonts w:ascii="Times New Roman" w:hAnsi="Times New Roman" w:cs="Times New Roman"/>
                <w:color w:val="000000"/>
                <w:sz w:val="24"/>
              </w:rPr>
              <w:t xml:space="preserve">La nueva escuela mexicana es un espacio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que se considera como un factor importante en la </w:t>
            </w:r>
            <w:r w:rsidRPr="007703CC">
              <w:rPr>
                <w:rFonts w:ascii="Times New Roman" w:hAnsi="Times New Roman" w:cs="Times New Roman"/>
                <w:color w:val="000000"/>
                <w:sz w:val="24"/>
              </w:rPr>
              <w:t xml:space="preserve">formación de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los </w:t>
            </w:r>
            <w:r w:rsidRPr="007703CC">
              <w:rPr>
                <w:rFonts w:ascii="Times New Roman" w:hAnsi="Times New Roman" w:cs="Times New Roman"/>
                <w:color w:val="000000"/>
                <w:sz w:val="24"/>
              </w:rPr>
              <w:t xml:space="preserve">ciudadanos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capaces de impulsar a un país con sus habilidades.</w:t>
            </w:r>
          </w:p>
          <w:p w14:paraId="1B8ED455" w14:textId="1815F01A" w:rsidR="005034BA" w:rsidRPr="007703CC" w:rsidRDefault="0083279E" w:rsidP="00770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En su educación de calidad promueve y fomenta a los niños y jóvenes la comprensión por su diversidad, la cultura, la diversidad lingüística y sobre todo se promueve un intercambio intercultural, que permite que como sociedad seamos uno solo y el respeto se generado a todas las personas. </w:t>
            </w:r>
          </w:p>
        </w:tc>
      </w:tr>
      <w:tr w:rsidR="005034BA" w:rsidRPr="00364E6C" w14:paraId="45AD3C06" w14:textId="77777777" w:rsidTr="005034BA">
        <w:tc>
          <w:tcPr>
            <w:tcW w:w="4414" w:type="dxa"/>
          </w:tcPr>
          <w:p w14:paraId="7CBA4C0E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364E6C">
              <w:rPr>
                <w:rFonts w:ascii="Times New Roman" w:hAnsi="Times New Roman" w:cs="Times New Roman"/>
                <w:b/>
                <w:bCs/>
                <w:color w:val="231F20"/>
                <w:sz w:val="24"/>
              </w:rPr>
              <w:t xml:space="preserve">Desafío 3: </w:t>
            </w:r>
            <w:r w:rsidRPr="00364E6C">
              <w:rPr>
                <w:rFonts w:ascii="Times New Roman" w:hAnsi="Times New Roman" w:cs="Times New Roman"/>
                <w:color w:val="231F20"/>
                <w:sz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Pr="00364E6C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</w:tcPr>
          <w:p w14:paraId="56924D53" w14:textId="1CA8C57A" w:rsidR="005034BA" w:rsidRPr="00483E6B" w:rsidRDefault="0083279E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83E6B">
              <w:rPr>
                <w:rFonts w:ascii="Times New Roman" w:hAnsi="Times New Roman" w:cs="Times New Roman"/>
                <w:color w:val="000000"/>
                <w:sz w:val="24"/>
              </w:rPr>
              <w:t xml:space="preserve">Así como la nueva escuela mexicana busca reconocer la cultura y el respeto por ella, se pretende que el amor a la </w:t>
            </w:r>
            <w:r w:rsidR="00483E6B" w:rsidRPr="00483E6B">
              <w:rPr>
                <w:rFonts w:ascii="Times New Roman" w:hAnsi="Times New Roman" w:cs="Times New Roman"/>
                <w:color w:val="000000"/>
                <w:sz w:val="24"/>
              </w:rPr>
              <w:t>patria</w:t>
            </w:r>
            <w:r w:rsidRPr="00483E6B">
              <w:rPr>
                <w:rFonts w:ascii="Times New Roman" w:hAnsi="Times New Roman" w:cs="Times New Roman"/>
                <w:color w:val="000000"/>
                <w:sz w:val="24"/>
              </w:rPr>
              <w:t xml:space="preserve"> sea algo </w:t>
            </w:r>
            <w:r w:rsidR="00483E6B" w:rsidRPr="00483E6B">
              <w:rPr>
                <w:rFonts w:ascii="Times New Roman" w:hAnsi="Times New Roman" w:cs="Times New Roman"/>
                <w:color w:val="000000"/>
                <w:sz w:val="24"/>
              </w:rPr>
              <w:t xml:space="preserve">intrínseco de los ciudadanos, que se ame la cultura que tenemos como algo nato y que se reconozcan y valoren otras, es necesario que desde pequeños se impulse el reconocimiento y el amor por la constitución y lo que nos hace como ciudadanos de un país con historia.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4E6C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364E6C">
        <w:rPr>
          <w:rFonts w:ascii="Times New Roman" w:hAnsi="Times New Roman" w:cs="Times New Roman"/>
          <w:color w:val="000000"/>
          <w:sz w:val="24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4E6C">
        <w:rPr>
          <w:rFonts w:ascii="Times New Roman" w:hAnsi="Times New Roman" w:cs="Times New Roman"/>
          <w:b/>
          <w:bCs/>
          <w:color w:val="000000"/>
          <w:sz w:val="24"/>
        </w:rPr>
        <w:t>Declaración de Incheon y Marco de Acción ODS 4–Educación 2030.</w:t>
      </w:r>
    </w:p>
    <w:p w14:paraId="7F0DF4BF" w14:textId="77777777" w:rsidR="005034BA" w:rsidRPr="00364E6C" w:rsidRDefault="00402EF3" w:rsidP="005034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563C2"/>
          <w:sz w:val="24"/>
        </w:rPr>
      </w:pPr>
      <w:hyperlink r:id="rId6" w:history="1">
        <w:r w:rsidR="005034BA" w:rsidRPr="00364E6C">
          <w:rPr>
            <w:rStyle w:val="Hipervnculo"/>
            <w:rFonts w:ascii="Times New Roman" w:hAnsi="Times New Roman" w:cs="Times New Roman"/>
            <w:sz w:val="24"/>
          </w:rPr>
          <w:t>https://unesdoc.unesco.org/ark:/48223/pf0000245656_spa</w:t>
        </w:r>
      </w:hyperlink>
    </w:p>
    <w:p w14:paraId="55733401" w14:textId="77777777" w:rsidR="005034BA" w:rsidRPr="00364E6C" w:rsidRDefault="005034BA" w:rsidP="00503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563C2"/>
          <w:sz w:val="24"/>
        </w:rPr>
      </w:pPr>
    </w:p>
    <w:p w14:paraId="3F9EE481" w14:textId="2FA8674F" w:rsidR="005034BA" w:rsidRDefault="005034BA" w:rsidP="005034BA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364E6C">
        <w:rPr>
          <w:rFonts w:ascii="Times New Roman" w:hAnsi="Times New Roman" w:cs="Times New Roman"/>
          <w:color w:val="000000"/>
          <w:sz w:val="24"/>
        </w:rPr>
        <w:t>• 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Pr="00364E6C"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14:paraId="6A9013E5" w14:textId="77777777" w:rsidR="00364E6C" w:rsidRPr="00364E6C" w:rsidRDefault="00364E6C" w:rsidP="005034BA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</w:rPr>
      </w:pP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jc w:val="center"/>
        <w:tblLook w:val="04A0" w:firstRow="1" w:lastRow="0" w:firstColumn="1" w:lastColumn="0" w:noHBand="0" w:noVBand="1"/>
      </w:tblPr>
      <w:tblGrid>
        <w:gridCol w:w="13887"/>
      </w:tblGrid>
      <w:tr w:rsidR="005034BA" w:rsidRPr="00AE4CEB" w14:paraId="63FC74C5" w14:textId="77777777" w:rsidTr="00483E6B">
        <w:trPr>
          <w:jc w:val="center"/>
        </w:trPr>
        <w:tc>
          <w:tcPr>
            <w:tcW w:w="13887" w:type="dxa"/>
          </w:tcPr>
          <w:p w14:paraId="4A9D916D" w14:textId="77777777" w:rsidR="005034BA" w:rsidRPr="00AE4CEB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E4C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Responsabilidades de las maestras y los maestros en el cumplimiento de las metas de la Declaración de Incheon y Marco de Acción ODS 4–Educación 2030</w:t>
            </w:r>
          </w:p>
          <w:p w14:paraId="19E0E6A1" w14:textId="77777777" w:rsidR="005034BA" w:rsidRPr="00AE4CEB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5034BA" w:rsidRPr="00AE4CEB" w14:paraId="34A3A55D" w14:textId="77777777" w:rsidTr="00483E6B">
        <w:trPr>
          <w:jc w:val="center"/>
        </w:trPr>
        <w:tc>
          <w:tcPr>
            <w:tcW w:w="13887" w:type="dxa"/>
          </w:tcPr>
          <w:p w14:paraId="671891F1" w14:textId="0DE11417" w:rsidR="005034BA" w:rsidRPr="00AE4CEB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C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4.1</w:t>
            </w:r>
            <w:r w:rsidR="0012517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12517E" w:rsidRPr="00402EF3">
              <w:rPr>
                <w:rFonts w:ascii="Times New Roman" w:hAnsi="Times New Roman" w:cs="Times New Roman"/>
                <w:color w:val="000000"/>
                <w:sz w:val="24"/>
              </w:rPr>
              <w:t>E</w:t>
            </w:r>
            <w:r w:rsidR="0012517E" w:rsidRPr="0012517E">
              <w:rPr>
                <w:rFonts w:ascii="Times New Roman" w:hAnsi="Times New Roman" w:cs="Times New Roman"/>
                <w:color w:val="000000"/>
                <w:sz w:val="24"/>
              </w:rPr>
              <w:t>n este primer punto, considero que</w:t>
            </w:r>
            <w:r w:rsidR="0012517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12517E" w:rsidRPr="00210AD5">
              <w:rPr>
                <w:rFonts w:ascii="Times New Roman" w:hAnsi="Times New Roman" w:cs="Times New Roman"/>
                <w:color w:val="000000"/>
                <w:sz w:val="24"/>
              </w:rPr>
              <w:t>l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</w:rPr>
              <w:t xml:space="preserve">os maestros y las maestras tienen la responsabilidad 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de implementar 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dentro de las aulas, 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>estrategias que favorezcan el ejercicio pleno del derecho a la educación de todas las personas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, al mismo tiempo que se desechen las 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>desigualdades socioeconómicas, regionales y de género en el acceso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 de la educación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, tránsito y permanencia en los servicios educativos, 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como lo establece </w:t>
            </w:r>
            <w:r w:rsidR="00AE4CEB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>el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 artículo 3° 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constitucional, </w:t>
            </w:r>
            <w:r w:rsidR="00183B27" w:rsidRPr="00AE4CEB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>y para lograrlo también es necesario colocar al centro del proceso educativo a los alumnos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, aunque estas perspectivas ya se llevan a cabo para el ofrecimiento de una </w:t>
            </w:r>
            <w:r w:rsidR="00210AD5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>educación</w:t>
            </w:r>
            <w:r w:rsidR="0012517E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 </w:t>
            </w:r>
            <w:r w:rsidR="00210AD5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de calidad aún se podrían mejorar y perfeccionar la educación en México. </w:t>
            </w:r>
            <w:r w:rsidR="00885BEF" w:rsidRPr="005E437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885BEF">
              <w:rPr>
                <w:rFonts w:ascii="Times New Roman" w:hAnsi="Times New Roman" w:cs="Times New Roman"/>
                <w:color w:val="000000"/>
                <w:sz w:val="24"/>
              </w:rPr>
              <w:t>CPEUM 2020</w:t>
            </w:r>
            <w:r w:rsidR="00885BEF" w:rsidRPr="005E437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="00885BE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034BA" w:rsidRPr="00AE4CEB" w14:paraId="2EDDD3F8" w14:textId="77777777" w:rsidTr="00483E6B">
        <w:trPr>
          <w:jc w:val="center"/>
        </w:trPr>
        <w:tc>
          <w:tcPr>
            <w:tcW w:w="13887" w:type="dxa"/>
          </w:tcPr>
          <w:p w14:paraId="050BC053" w14:textId="4E6213DF" w:rsidR="005034BA" w:rsidRPr="00C655C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5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4.2.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Para </w:t>
            </w:r>
            <w:r w:rsidR="00210AD5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lograrlo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>es necesario que los docentes</w:t>
            </w:r>
            <w:r w:rsidR="00672ADD">
              <w:rPr>
                <w:rFonts w:ascii="Times New Roman" w:hAnsi="Times New Roman" w:cs="Times New Roman"/>
                <w:color w:val="000000"/>
                <w:sz w:val="24"/>
                <w:lang w:val="es-MX"/>
              </w:rPr>
              <w:t xml:space="preserve"> </w:t>
            </w:r>
            <w:r w:rsidR="00672ADD" w:rsidRPr="00672ADD">
              <w:rPr>
                <w:rFonts w:ascii="Times New Roman" w:hAnsi="Times New Roman" w:cs="Times New Roman"/>
                <w:sz w:val="24"/>
              </w:rPr>
              <w:t>educativo</w:t>
            </w:r>
            <w:r w:rsidR="00672ADD">
              <w:rPr>
                <w:rFonts w:ascii="Times New Roman" w:hAnsi="Times New Roman" w:cs="Times New Roman"/>
                <w:sz w:val="24"/>
              </w:rPr>
              <w:t>s</w:t>
            </w:r>
            <w:r w:rsidR="00672ADD" w:rsidRPr="00672ADD">
              <w:rPr>
                <w:rFonts w:ascii="Times New Roman" w:hAnsi="Times New Roman" w:cs="Times New Roman"/>
                <w:sz w:val="24"/>
              </w:rPr>
              <w:t xml:space="preserve"> del país </w:t>
            </w:r>
            <w:r w:rsidR="00672ADD">
              <w:rPr>
                <w:rFonts w:ascii="Times New Roman" w:hAnsi="Times New Roman" w:cs="Times New Roman"/>
                <w:sz w:val="24"/>
              </w:rPr>
              <w:t xml:space="preserve">tengan claro que los </w:t>
            </w:r>
            <w:r w:rsidR="00672ADD" w:rsidRPr="00672ADD">
              <w:rPr>
                <w:rFonts w:ascii="Times New Roman" w:hAnsi="Times New Roman" w:cs="Times New Roman"/>
                <w:sz w:val="24"/>
              </w:rPr>
              <w:t>asuntos que requieren atención para garantizar el derecho de todos a una educación de calida</w:t>
            </w:r>
            <w:r w:rsidR="00672ADD">
              <w:rPr>
                <w:rFonts w:ascii="Times New Roman" w:hAnsi="Times New Roman" w:cs="Times New Roman"/>
                <w:sz w:val="24"/>
              </w:rPr>
              <w:t xml:space="preserve">d </w:t>
            </w:r>
            <w:r w:rsidR="00672ADD" w:rsidRPr="00672ADD">
              <w:rPr>
                <w:rFonts w:ascii="Times New Roman" w:hAnsi="Times New Roman" w:cs="Times New Roman"/>
                <w:sz w:val="24"/>
              </w:rPr>
              <w:t>son los siguientes:</w:t>
            </w:r>
            <w:r w:rsidR="00672A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2ADD" w:rsidRPr="00672ADD">
              <w:rPr>
                <w:rFonts w:ascii="Times New Roman" w:hAnsi="Times New Roman" w:cs="Times New Roman"/>
                <w:sz w:val="24"/>
              </w:rPr>
              <w:t>centros de alta calidad competentes para la formación inicial de las maestras y los maestros</w:t>
            </w:r>
            <w:r w:rsidR="00672AD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74078">
              <w:rPr>
                <w:rFonts w:ascii="Times New Roman" w:hAnsi="Times New Roman" w:cs="Times New Roman"/>
                <w:sz w:val="24"/>
              </w:rPr>
              <w:t>l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>a evaluación y revisión de planes de estudio</w:t>
            </w:r>
            <w:r w:rsidR="00D74078">
              <w:rPr>
                <w:rFonts w:ascii="Times New Roman" w:hAnsi="Times New Roman" w:cs="Times New Roman"/>
                <w:sz w:val="24"/>
              </w:rPr>
              <w:t xml:space="preserve"> continua y  periódica, 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>ampliar el conocimiento sistemático</w:t>
            </w:r>
            <w:r w:rsidR="00D74078">
              <w:rPr>
                <w:rFonts w:ascii="Times New Roman" w:hAnsi="Times New Roman" w:cs="Times New Roman"/>
                <w:sz w:val="24"/>
              </w:rPr>
              <w:t xml:space="preserve"> y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 xml:space="preserve"> su vez vigorizar la investigación educativa y promover su desarrollo empírico sobre la enseñanza, </w:t>
            </w:r>
            <w:r w:rsidR="00D74078">
              <w:rPr>
                <w:rFonts w:ascii="Times New Roman" w:hAnsi="Times New Roman" w:cs="Times New Roman"/>
                <w:sz w:val="24"/>
              </w:rPr>
              <w:t xml:space="preserve">la 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>vinculación de los padres y las madres de familia con las escuelas de sus hijos</w:t>
            </w:r>
            <w:r w:rsidR="00D74078">
              <w:rPr>
                <w:rFonts w:ascii="Times New Roman" w:hAnsi="Times New Roman" w:cs="Times New Roman"/>
                <w:sz w:val="24"/>
              </w:rPr>
              <w:t>, l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>a equidad en los servicios educativos</w:t>
            </w:r>
            <w:r w:rsidR="00D74078">
              <w:rPr>
                <w:rFonts w:ascii="Times New Roman" w:hAnsi="Times New Roman" w:cs="Times New Roman"/>
                <w:sz w:val="24"/>
              </w:rPr>
              <w:t>, pues se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 xml:space="preserve"> le debe dar prioridad a la atención de comunidades en situación de vulnerabilidad</w:t>
            </w:r>
            <w:r w:rsidR="00D7407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>dotar al estudiante de conocimientos y habilidades para su desenvolvimiento óptimo</w:t>
            </w:r>
            <w:r w:rsidR="00D74078">
              <w:rPr>
                <w:rFonts w:ascii="Times New Roman" w:hAnsi="Times New Roman" w:cs="Times New Roman"/>
                <w:sz w:val="24"/>
              </w:rPr>
              <w:t>, e</w:t>
            </w:r>
            <w:r w:rsidR="00D74078" w:rsidRPr="00D74078">
              <w:rPr>
                <w:rFonts w:ascii="Times New Roman" w:hAnsi="Times New Roman" w:cs="Times New Roman"/>
                <w:sz w:val="24"/>
              </w:rPr>
              <w:t>s indispensable guiar las decisiones de la política educativa hacia el bienestar nacional y el interés superior de la niñez</w:t>
            </w:r>
            <w:r w:rsidR="00D74078">
              <w:rPr>
                <w:rFonts w:ascii="Times New Roman" w:hAnsi="Times New Roman" w:cs="Times New Roman"/>
                <w:sz w:val="24"/>
              </w:rPr>
              <w:t xml:space="preserve">, entre otras. </w:t>
            </w:r>
            <w:r w:rsidR="00885BEF" w:rsidRPr="005E437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885BEF">
              <w:rPr>
                <w:rFonts w:ascii="Times New Roman" w:hAnsi="Times New Roman" w:cs="Times New Roman"/>
                <w:sz w:val="24"/>
              </w:rPr>
              <w:t xml:space="preserve">INNE </w:t>
            </w:r>
            <w:r w:rsidR="00885BEF" w:rsidRPr="005E437F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 w:rsidR="00885BE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85BEF" w:rsidRPr="005E437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="00885BE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034BA" w:rsidRPr="00AE4CEB" w14:paraId="65BCB022" w14:textId="77777777" w:rsidTr="00483E6B">
        <w:trPr>
          <w:jc w:val="center"/>
        </w:trPr>
        <w:tc>
          <w:tcPr>
            <w:tcW w:w="13887" w:type="dxa"/>
          </w:tcPr>
          <w:p w14:paraId="0F19A431" w14:textId="29F19C6C" w:rsidR="005034BA" w:rsidRPr="00AE4CEB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E4C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4.5</w:t>
            </w:r>
            <w:r w:rsidR="005E43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r w:rsidR="00885BEF">
              <w:rPr>
                <w:rFonts w:ascii="Times New Roman" w:hAnsi="Times New Roman" w:cs="Times New Roman"/>
                <w:color w:val="000000"/>
                <w:sz w:val="24"/>
              </w:rPr>
              <w:t xml:space="preserve">los maestros y maestras deberán estar comprometidos ante la diversidad de las personas que mantengan acceso a la educación, sobre todo con los que se encuentran en un estado de vulnerabilidad </w:t>
            </w:r>
            <w:r w:rsidR="00885BEF" w:rsidRPr="00885BEF">
              <w:rPr>
                <w:rFonts w:ascii="Times New Roman" w:hAnsi="Times New Roman" w:cs="Times New Roman"/>
                <w:color w:val="000000"/>
                <w:sz w:val="24"/>
              </w:rPr>
              <w:t>incluidas las personas con discapacidad, los pueblos indígenas y los niños en situaciones de vulnerabilidad, a todos los niveles de la enseñanza y la formación profesional</w:t>
            </w:r>
            <w:r w:rsidR="007234EC">
              <w:rPr>
                <w:rFonts w:ascii="Times New Roman" w:hAnsi="Times New Roman" w:cs="Times New Roman"/>
                <w:color w:val="000000"/>
                <w:sz w:val="24"/>
              </w:rPr>
              <w:t xml:space="preserve">, ya que la </w:t>
            </w:r>
            <w:r w:rsidR="007234EC" w:rsidRPr="005E437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7234EC">
              <w:rPr>
                <w:rFonts w:ascii="Times New Roman" w:hAnsi="Times New Roman" w:cs="Times New Roman"/>
                <w:color w:val="000000"/>
                <w:sz w:val="24"/>
              </w:rPr>
              <w:t>CPEUM 2020</w:t>
            </w:r>
            <w:r w:rsidR="007234EC" w:rsidRPr="005E437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="007234EC">
              <w:rPr>
                <w:rFonts w:ascii="Times New Roman" w:hAnsi="Times New Roman" w:cs="Times New Roman"/>
                <w:color w:val="000000"/>
                <w:sz w:val="24"/>
              </w:rPr>
              <w:t xml:space="preserve"> en su </w:t>
            </w:r>
            <w:r w:rsidR="00A564D0">
              <w:rPr>
                <w:rFonts w:ascii="Times New Roman" w:hAnsi="Times New Roman" w:cs="Times New Roman"/>
                <w:color w:val="000000"/>
                <w:sz w:val="24"/>
              </w:rPr>
              <w:t>artículo</w:t>
            </w:r>
            <w:r w:rsidR="007234EC">
              <w:rPr>
                <w:rFonts w:ascii="Times New Roman" w:hAnsi="Times New Roman" w:cs="Times New Roman"/>
                <w:color w:val="000000"/>
                <w:sz w:val="24"/>
              </w:rPr>
              <w:t xml:space="preserve"> 3º fracción II E</w:t>
            </w:r>
            <w:r w:rsidR="00A564D0" w:rsidRPr="00205D6B">
              <w:rPr>
                <w:rFonts w:ascii="Times New Roman" w:hAnsi="Times New Roman" w:cs="Times New Roman"/>
                <w:color w:val="000000"/>
                <w:sz w:val="24"/>
                <w:lang w:val="es-ES"/>
              </w:rPr>
              <w:t>)</w:t>
            </w:r>
            <w:r w:rsidR="007234EC">
              <w:rPr>
                <w:rFonts w:ascii="Times New Roman" w:hAnsi="Times New Roman" w:cs="Times New Roman"/>
                <w:color w:val="000000"/>
                <w:sz w:val="24"/>
              </w:rPr>
              <w:t xml:space="preserve"> señala que </w:t>
            </w:r>
            <w:r w:rsidR="007234EC" w:rsidRPr="007234EC">
              <w:rPr>
                <w:rFonts w:ascii="Times New Roman" w:hAnsi="Times New Roman" w:cs="Times New Roman"/>
                <w:color w:val="000000"/>
                <w:sz w:val="24"/>
              </w:rPr>
              <w:t>se impulsarán acciones que mejoren las condiciones de vida de los educandos. Asimismo, se respaldará a estudiantes en vulnerabilidad social, mediante el establecimiento de políticas incluyentes y transversales.</w:t>
            </w:r>
            <w:r w:rsidR="00A564D0">
              <w:rPr>
                <w:rFonts w:ascii="Times New Roman" w:hAnsi="Times New Roman" w:cs="Times New Roman"/>
                <w:color w:val="000000"/>
                <w:sz w:val="24"/>
              </w:rPr>
              <w:t xml:space="preserve"> Por lo tanto, como docentes ya es responsabilidad hacer valer lo que por escrito ya esta determinado y fundamentado para la mejora de la educación en favor de una enseñanza de calidad y enfocada en que todos por igualdad reciban una educación digna pese a sus condiciones. </w:t>
            </w:r>
          </w:p>
        </w:tc>
      </w:tr>
      <w:tr w:rsidR="005034BA" w:rsidRPr="00AE4CEB" w14:paraId="1D611806" w14:textId="77777777" w:rsidTr="00483E6B">
        <w:trPr>
          <w:jc w:val="center"/>
        </w:trPr>
        <w:tc>
          <w:tcPr>
            <w:tcW w:w="13887" w:type="dxa"/>
          </w:tcPr>
          <w:p w14:paraId="12BDFB5F" w14:textId="69225711" w:rsidR="005034BA" w:rsidRPr="00C655C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s-ES"/>
              </w:rPr>
            </w:pPr>
            <w:r w:rsidRPr="00AE4C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4.7</w:t>
            </w:r>
            <w:r w:rsidR="00C655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 xml:space="preserve">Para garantizar los conocimientos teóricos y prácticos necesarios para promover el desarrollo sostenible, es necesario </w:t>
            </w:r>
            <w:r w:rsidR="00A564D0">
              <w:rPr>
                <w:rFonts w:ascii="Times New Roman" w:hAnsi="Times New Roman" w:cs="Times New Roman"/>
                <w:color w:val="000000"/>
                <w:sz w:val="24"/>
              </w:rPr>
              <w:t xml:space="preserve">que tanto maestras y maestros,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>proporcion</w:t>
            </w:r>
            <w:r w:rsidR="00A564D0">
              <w:rPr>
                <w:rFonts w:ascii="Times New Roman" w:hAnsi="Times New Roman" w:cs="Times New Roman"/>
                <w:color w:val="000000"/>
                <w:sz w:val="24"/>
              </w:rPr>
              <w:t>en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 xml:space="preserve"> a los educandos de todas las edades los conocimientos, las competencias, las actitudes y los valores necesarios para superar los desafíos mundiales interrelacionados a los que debemos hacer frente, fundamentalmente el cambio climático, la degradación medioambiental, la pobreza y las desigualdades. Por tal motivo, es necesario el desarrollo de aprendizajes que impulsen desafíos para encontrar soluciones de manera individual y considerarlo como parte de una nueva cultura colectiva para motivar un cambio dentro de la sociedad. </w:t>
            </w:r>
            <w:r w:rsidR="00C655CA" w:rsidRPr="00205D6B">
              <w:rPr>
                <w:rFonts w:ascii="Times New Roman" w:hAnsi="Times New Roman" w:cs="Times New Roman"/>
                <w:color w:val="000000"/>
                <w:sz w:val="24"/>
                <w:lang w:val="es-ES"/>
              </w:rPr>
              <w:t xml:space="preserve">Se reconoce que la educación para el desarrollo sostenible es un parte integral del Objetivo de Desarrollo Sostenible (ODS)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  <w:lang w:val="es-ES"/>
              </w:rPr>
              <w:t xml:space="preserve">objetivo </w:t>
            </w:r>
            <w:r w:rsidR="00C655CA" w:rsidRPr="00205D6B">
              <w:rPr>
                <w:rFonts w:ascii="Times New Roman" w:hAnsi="Times New Roman" w:cs="Times New Roman"/>
                <w:color w:val="000000"/>
                <w:sz w:val="24"/>
                <w:lang w:val="es-ES"/>
              </w:rPr>
              <w:t>4 relativo a la educación de calidad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  <w:lang w:val="es-ES"/>
              </w:rPr>
              <w:t xml:space="preserve">, la cual también infiere en reconocer la importancia de la educación equitativa e igualitaria para todos, brindando el acceso y permanencia a la educación y eliminar disparidades de género.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>Una visión sostenible de los sistemas educativos exige que desde la escuela se aprenda, se conciencie y se dialogue sobre los retos del medio ambiente y del desarrollo social y cultural en la educación</w:t>
            </w:r>
            <w:r w:rsidR="00A564D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3233A" w:rsidRPr="005E437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A564D0">
              <w:rPr>
                <w:rFonts w:ascii="Times New Roman" w:hAnsi="Times New Roman" w:cs="Times New Roman"/>
                <w:color w:val="000000"/>
                <w:sz w:val="24"/>
              </w:rPr>
              <w:t>UNESCO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>, INNE 2018</w:t>
            </w:r>
            <w:r w:rsidR="00A3233A" w:rsidRPr="005E437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5034BA" w:rsidRPr="00AE4CEB" w14:paraId="1B2532B0" w14:textId="77777777" w:rsidTr="00483E6B">
        <w:trPr>
          <w:jc w:val="center"/>
        </w:trPr>
        <w:tc>
          <w:tcPr>
            <w:tcW w:w="13887" w:type="dxa"/>
          </w:tcPr>
          <w:p w14:paraId="30E34D9C" w14:textId="08081CE3" w:rsidR="005034BA" w:rsidRPr="00AE4CEB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E4CE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4.c</w:t>
            </w:r>
            <w:r w:rsidR="00C655C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. </w:t>
            </w:r>
            <w:r w:rsidR="00A3233A" w:rsidRPr="00A3233A">
              <w:rPr>
                <w:rFonts w:ascii="Times New Roman" w:hAnsi="Times New Roman" w:cs="Times New Roman"/>
                <w:color w:val="000000"/>
                <w:sz w:val="24"/>
              </w:rPr>
              <w:t>Para lograr los alcanc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>e</w:t>
            </w:r>
            <w:r w:rsidR="00A3233A" w:rsidRPr="00A3233A">
              <w:rPr>
                <w:rFonts w:ascii="Times New Roman" w:hAnsi="Times New Roman" w:cs="Times New Roman"/>
                <w:color w:val="000000"/>
                <w:sz w:val="24"/>
              </w:rPr>
              <w:t>s educativos en función del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 xml:space="preserve"> l</w:t>
            </w:r>
            <w:r w:rsidR="00A3233A" w:rsidRPr="00A3233A">
              <w:rPr>
                <w:rFonts w:ascii="Times New Roman" w:hAnsi="Times New Roman" w:cs="Times New Roman"/>
                <w:color w:val="000000"/>
                <w:sz w:val="24"/>
              </w:rPr>
              <w:t>ogro de los aprendizajes y adquisición de competencias e los educandos de la educación básica obligatoria, es necesarios que</w:t>
            </w:r>
            <w:r w:rsidR="00A3233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 xml:space="preserve">los maestros 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 xml:space="preserve">cumplan con 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>las competencias necesarias para trabajar en instituciones educativas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 xml:space="preserve"> del </w:t>
            </w:r>
            <w:r w:rsidR="001E5D78">
              <w:rPr>
                <w:rFonts w:ascii="Times New Roman" w:hAnsi="Times New Roman" w:cs="Times New Roman"/>
                <w:color w:val="000000"/>
                <w:sz w:val="24"/>
              </w:rPr>
              <w:t>país</w:t>
            </w:r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 xml:space="preserve">, cubriendo además los estados insulares en desarrollo,  pero para que esto suceda deben recibir una buena formación y además deben estar profesionalmente calificados, pues de acuerdo al artículo 3° párrafo 6 </w:t>
            </w:r>
            <w:bookmarkStart w:id="0" w:name="_Hlk73293773"/>
            <w:r w:rsidR="00A3233A" w:rsidRPr="005E437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>CPEUM 2020</w:t>
            </w:r>
            <w:r w:rsidR="00A3233A" w:rsidRPr="005E437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="00A3233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bookmarkEnd w:id="0"/>
            <w:r w:rsidR="00C655CA" w:rsidRPr="00C655CA">
              <w:rPr>
                <w:rFonts w:ascii="Times New Roman" w:hAnsi="Times New Roman" w:cs="Times New Roman"/>
                <w:color w:val="000000"/>
                <w:sz w:val="24"/>
              </w:rPr>
              <w:t>los maestros son fundamentales en el transcurso educativo y por lo tanto deberán tener derecho a la capacitación, actualización continua y evaluaciones diagnosticas para el cumplimiento de la mejora de su formación , contratación, permanencia y motivación.</w:t>
            </w:r>
            <w:r w:rsidR="001E5D78">
              <w:rPr>
                <w:rFonts w:ascii="Times New Roman" w:hAnsi="Times New Roman" w:cs="Times New Roman"/>
                <w:color w:val="000000"/>
                <w:sz w:val="24"/>
              </w:rPr>
              <w:t xml:space="preserve"> Con estas estrategias, será posible que los docentes ofrezcan las herramientas necesarias a los alumnos al estar actualizados de manera constante y determinando que son aptos para ofrecer los conocimientos que la educación obligatoria establece. </w:t>
            </w:r>
          </w:p>
        </w:tc>
      </w:tr>
    </w:tbl>
    <w:p w14:paraId="51F2DAB4" w14:textId="77777777" w:rsidR="001E5D78" w:rsidRDefault="001E5D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B28127A" w14:textId="77777777" w:rsidR="001E5D78" w:rsidRDefault="001E5D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782EC995" w14:textId="77777777" w:rsidR="001E5D78" w:rsidRDefault="001E5D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428DC63" w14:textId="77777777" w:rsidR="001E5D78" w:rsidRDefault="001E5D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2DD85782" w14:textId="77777777" w:rsidR="001E5D78" w:rsidRDefault="001E5D7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28F1B47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6E024EF6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24D2C37C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1E911BF6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1F0C8064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2DE34839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26753569" w14:textId="77777777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7D165BAE" w14:textId="0356728D" w:rsidR="005034BA" w:rsidRPr="00402EF3" w:rsidRDefault="001E5D78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  <w:r w:rsidRPr="00402EF3">
        <w:rPr>
          <w:rFonts w:asciiTheme="majorHAnsi" w:hAnsiTheme="majorHAnsi" w:cstheme="majorHAnsi"/>
          <w:b/>
          <w:bCs/>
          <w:color w:val="231F20"/>
          <w:sz w:val="24"/>
        </w:rPr>
        <w:t xml:space="preserve">Bibliografía </w:t>
      </w:r>
    </w:p>
    <w:p w14:paraId="30D27A0B" w14:textId="77777777" w:rsidR="001E5D78" w:rsidRPr="00402EF3" w:rsidRDefault="001E5D78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231F20"/>
          <w:sz w:val="24"/>
        </w:rPr>
      </w:pPr>
    </w:p>
    <w:p w14:paraId="5DC828EE" w14:textId="110F9DE8" w:rsidR="005034BA" w:rsidRPr="00402EF3" w:rsidRDefault="001E5D78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31F20"/>
          <w:sz w:val="24"/>
        </w:rPr>
      </w:pPr>
      <w:hyperlink r:id="rId7" w:history="1">
        <w:r w:rsidRPr="00402EF3">
          <w:rPr>
            <w:rStyle w:val="Hipervnculo"/>
            <w:rFonts w:asciiTheme="majorHAnsi" w:hAnsiTheme="majorHAnsi" w:cstheme="majorHAnsi"/>
            <w:sz w:val="24"/>
          </w:rPr>
          <w:t>https://es.unesco.org/themes/educacion-desarrollo-sostenible</w:t>
        </w:r>
      </w:hyperlink>
    </w:p>
    <w:p w14:paraId="62D72314" w14:textId="226BD099" w:rsidR="005034BA" w:rsidRPr="00402EF3" w:rsidRDefault="001E5D78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31F20"/>
          <w:sz w:val="24"/>
        </w:rPr>
      </w:pPr>
      <w:hyperlink r:id="rId8" w:history="1">
        <w:r w:rsidRPr="00402EF3">
          <w:rPr>
            <w:rStyle w:val="Hipervnculo"/>
            <w:rFonts w:asciiTheme="majorHAnsi" w:hAnsiTheme="majorHAnsi" w:cstheme="majorHAnsi"/>
            <w:sz w:val="24"/>
          </w:rPr>
          <w:t>https://historico.mejoredu.gob.mx/agenda-2030-para-el-desarrollo-sostenible-en-educacion-retos-y-prospectiva/</w:t>
        </w:r>
      </w:hyperlink>
    </w:p>
    <w:p w14:paraId="0FE7018F" w14:textId="7D960883" w:rsidR="001E5D78" w:rsidRPr="00402EF3" w:rsidRDefault="001E5D78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</w:rPr>
      </w:pPr>
      <w:r w:rsidRPr="00402EF3">
        <w:rPr>
          <w:rFonts w:asciiTheme="majorHAnsi" w:hAnsiTheme="majorHAnsi" w:cstheme="majorHAnsi"/>
          <w:color w:val="231F20"/>
          <w:sz w:val="24"/>
        </w:rPr>
        <w:t>Constitución Política de los Estados Unidos mexicanos</w:t>
      </w:r>
      <w:r w:rsidRPr="00402EF3">
        <w:rPr>
          <w:rFonts w:asciiTheme="majorHAnsi" w:hAnsiTheme="majorHAnsi" w:cstheme="majorHAnsi"/>
          <w:b/>
          <w:bCs/>
          <w:color w:val="231F20"/>
          <w:sz w:val="24"/>
        </w:rPr>
        <w:t xml:space="preserve"> </w:t>
      </w:r>
      <w:r w:rsidRPr="00402EF3">
        <w:rPr>
          <w:rFonts w:asciiTheme="majorHAnsi" w:hAnsiTheme="majorHAnsi" w:cstheme="majorHAnsi"/>
          <w:color w:val="000000"/>
          <w:sz w:val="24"/>
        </w:rPr>
        <w:t>CPEUM</w:t>
      </w:r>
      <w:r w:rsidR="00C84A25" w:rsidRPr="00402EF3">
        <w:rPr>
          <w:rFonts w:asciiTheme="majorHAnsi" w:hAnsiTheme="majorHAnsi" w:cstheme="majorHAnsi"/>
          <w:color w:val="000000"/>
          <w:sz w:val="24"/>
        </w:rPr>
        <w:t xml:space="preserve"> </w:t>
      </w:r>
      <w:r w:rsidR="00C84A25" w:rsidRPr="00402EF3">
        <w:rPr>
          <w:rFonts w:asciiTheme="majorHAnsi" w:hAnsiTheme="majorHAnsi" w:cstheme="majorHAnsi"/>
          <w:color w:val="000000"/>
          <w:sz w:val="24"/>
        </w:rPr>
        <w:t>(2020)</w:t>
      </w:r>
      <w:r w:rsidR="00C84A25" w:rsidRPr="00402EF3">
        <w:rPr>
          <w:rFonts w:asciiTheme="majorHAnsi" w:hAnsiTheme="majorHAnsi" w:cstheme="majorHAnsi"/>
          <w:color w:val="000000"/>
          <w:sz w:val="24"/>
        </w:rPr>
        <w:t xml:space="preserve"> Artículo. 3º. C</w:t>
      </w:r>
      <w:r w:rsidR="00C84A25" w:rsidRPr="00402EF3">
        <w:rPr>
          <w:rFonts w:asciiTheme="majorHAnsi" w:hAnsiTheme="majorHAnsi" w:cstheme="majorHAnsi"/>
          <w:color w:val="000000"/>
          <w:sz w:val="24"/>
        </w:rPr>
        <w:t>ÁMARA DE DIPUTADOS DEL H. CONGRESO DE LA UNIÓN</w:t>
      </w:r>
      <w:r w:rsidR="00C84A25" w:rsidRPr="00402EF3">
        <w:rPr>
          <w:rFonts w:asciiTheme="majorHAnsi" w:hAnsiTheme="majorHAnsi" w:cstheme="majorHAnsi"/>
          <w:color w:val="000000"/>
          <w:sz w:val="24"/>
        </w:rPr>
        <w:t xml:space="preserve"> </w:t>
      </w:r>
    </w:p>
    <w:p w14:paraId="3DDA4938" w14:textId="5DC20301" w:rsidR="00C84A25" w:rsidRPr="00402EF3" w:rsidRDefault="00C84A25" w:rsidP="00C84A2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</w:rPr>
      </w:pPr>
      <w:r w:rsidRPr="00402EF3">
        <w:rPr>
          <w:rFonts w:asciiTheme="majorHAnsi" w:hAnsiTheme="majorHAnsi" w:cstheme="majorHAnsi"/>
          <w:color w:val="231F20"/>
          <w:sz w:val="24"/>
        </w:rPr>
        <w:t>Constitución Política de los Estados Unidos mexicanos</w:t>
      </w:r>
      <w:r w:rsidRPr="00402EF3">
        <w:rPr>
          <w:rFonts w:asciiTheme="majorHAnsi" w:hAnsiTheme="majorHAnsi" w:cstheme="majorHAnsi"/>
          <w:b/>
          <w:bCs/>
          <w:color w:val="231F20"/>
          <w:sz w:val="24"/>
        </w:rPr>
        <w:t xml:space="preserve"> </w:t>
      </w:r>
      <w:r w:rsidRPr="00402EF3">
        <w:rPr>
          <w:rFonts w:asciiTheme="majorHAnsi" w:hAnsiTheme="majorHAnsi" w:cstheme="majorHAnsi"/>
          <w:color w:val="000000"/>
          <w:sz w:val="24"/>
        </w:rPr>
        <w:t>CPEUM (2020) Art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ículo. 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 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3º. Fracción II. 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CÁMARA DE DIPUTADOS DEL H. CONGRESO DE LA UNIÓN </w:t>
      </w:r>
    </w:p>
    <w:p w14:paraId="7A37D1B7" w14:textId="7376FD59" w:rsidR="00C84A25" w:rsidRPr="00402EF3" w:rsidRDefault="00C84A25" w:rsidP="00C84A2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</w:rPr>
      </w:pPr>
      <w:r w:rsidRPr="00402EF3">
        <w:rPr>
          <w:rFonts w:asciiTheme="majorHAnsi" w:hAnsiTheme="majorHAnsi" w:cstheme="majorHAnsi"/>
          <w:color w:val="231F20"/>
          <w:sz w:val="24"/>
        </w:rPr>
        <w:t>Constitución Política de los Estados Unidos mexicanos</w:t>
      </w:r>
      <w:r w:rsidRPr="00402EF3">
        <w:rPr>
          <w:rFonts w:asciiTheme="majorHAnsi" w:hAnsiTheme="majorHAnsi" w:cstheme="majorHAnsi"/>
          <w:b/>
          <w:bCs/>
          <w:color w:val="231F20"/>
          <w:sz w:val="24"/>
        </w:rPr>
        <w:t xml:space="preserve"> </w:t>
      </w:r>
      <w:r w:rsidRPr="00402EF3">
        <w:rPr>
          <w:rFonts w:asciiTheme="majorHAnsi" w:hAnsiTheme="majorHAnsi" w:cstheme="majorHAnsi"/>
          <w:color w:val="000000"/>
          <w:sz w:val="24"/>
        </w:rPr>
        <w:t>CPEUM (2020) Art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ículo. 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 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3º Párrafo 6. 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CÁMARA DE DIPUTADOS DEL H. CONGRESO DE LA UNIÓN </w:t>
      </w:r>
    </w:p>
    <w:p w14:paraId="2A73F15B" w14:textId="70D780D4" w:rsidR="00C84A25" w:rsidRPr="00402EF3" w:rsidRDefault="00C84A25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</w:rPr>
      </w:pPr>
      <w:r w:rsidRPr="00402EF3">
        <w:rPr>
          <w:rFonts w:asciiTheme="majorHAnsi" w:hAnsiTheme="majorHAnsi" w:cstheme="majorHAnsi"/>
          <w:color w:val="231F20"/>
          <w:sz w:val="24"/>
        </w:rPr>
        <w:t xml:space="preserve">INNE </w:t>
      </w:r>
      <w:r w:rsidRPr="00402EF3">
        <w:rPr>
          <w:rFonts w:asciiTheme="majorHAnsi" w:hAnsiTheme="majorHAnsi" w:cstheme="majorHAnsi"/>
          <w:color w:val="000000"/>
          <w:sz w:val="24"/>
        </w:rPr>
        <w:t>(20</w:t>
      </w:r>
      <w:r w:rsidRPr="00402EF3">
        <w:rPr>
          <w:rFonts w:asciiTheme="majorHAnsi" w:hAnsiTheme="majorHAnsi" w:cstheme="majorHAnsi"/>
          <w:color w:val="000000"/>
          <w:sz w:val="24"/>
        </w:rPr>
        <w:t>18</w:t>
      </w:r>
      <w:r w:rsidRPr="00402EF3">
        <w:rPr>
          <w:rFonts w:asciiTheme="majorHAnsi" w:hAnsiTheme="majorHAnsi" w:cstheme="majorHAnsi"/>
          <w:color w:val="000000"/>
          <w:sz w:val="24"/>
        </w:rPr>
        <w:t>)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 </w:t>
      </w:r>
      <w:r w:rsidRPr="00402EF3">
        <w:rPr>
          <w:rFonts w:asciiTheme="majorHAnsi" w:hAnsiTheme="majorHAnsi" w:cstheme="majorHAnsi"/>
          <w:color w:val="000000"/>
          <w:sz w:val="24"/>
        </w:rPr>
        <w:t>El concepto de calidad en la educación: construcción, dimensiones y evaluación</w:t>
      </w:r>
      <w:r w:rsidRPr="00402EF3">
        <w:rPr>
          <w:rFonts w:asciiTheme="majorHAnsi" w:hAnsiTheme="majorHAnsi" w:cstheme="majorHAnsi"/>
          <w:color w:val="000000"/>
          <w:sz w:val="24"/>
        </w:rPr>
        <w:t xml:space="preserve">. </w:t>
      </w:r>
      <w:hyperlink r:id="rId9" w:history="1">
        <w:r w:rsidRPr="00402EF3">
          <w:rPr>
            <w:rStyle w:val="Hipervnculo"/>
            <w:rFonts w:asciiTheme="majorHAnsi" w:hAnsiTheme="majorHAnsi" w:cstheme="majorHAnsi"/>
            <w:sz w:val="24"/>
          </w:rPr>
          <w:t>https://www.inee.edu.mx/</w:t>
        </w:r>
      </w:hyperlink>
    </w:p>
    <w:p w14:paraId="2819750A" w14:textId="5314F98E" w:rsidR="00C84A25" w:rsidRPr="00402EF3" w:rsidRDefault="00C84A25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</w:rPr>
      </w:pPr>
    </w:p>
    <w:p w14:paraId="66B6A0FD" w14:textId="074AF30A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15A740A" w14:textId="66228051" w:rsidR="00402EF3" w:rsidRDefault="00402EF3" w:rsidP="005034B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lastRenderedPageBreak/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798EBABB" w:rsidR="008A44E3" w:rsidRDefault="008A44E3" w:rsidP="00677DE9"/>
    <w:sectPr w:rsidR="008A44E3" w:rsidSect="00402EF3">
      <w:pgSz w:w="15840" w:h="12240" w:orient="landscape"/>
      <w:pgMar w:top="992" w:right="1418" w:bottom="1701" w:left="567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B4E"/>
    <w:multiLevelType w:val="hybridMultilevel"/>
    <w:tmpl w:val="9F5AB1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12517E"/>
    <w:rsid w:val="00183B27"/>
    <w:rsid w:val="001E5D78"/>
    <w:rsid w:val="00210AD5"/>
    <w:rsid w:val="00364E6C"/>
    <w:rsid w:val="003F0AFF"/>
    <w:rsid w:val="00402EF3"/>
    <w:rsid w:val="00483E6B"/>
    <w:rsid w:val="005034BA"/>
    <w:rsid w:val="005E437F"/>
    <w:rsid w:val="0063680F"/>
    <w:rsid w:val="00672ADD"/>
    <w:rsid w:val="00677DE9"/>
    <w:rsid w:val="007234EC"/>
    <w:rsid w:val="007703CC"/>
    <w:rsid w:val="007704D8"/>
    <w:rsid w:val="007A1F24"/>
    <w:rsid w:val="0083279E"/>
    <w:rsid w:val="00885BEF"/>
    <w:rsid w:val="008A44E3"/>
    <w:rsid w:val="009501FD"/>
    <w:rsid w:val="00972888"/>
    <w:rsid w:val="009E4526"/>
    <w:rsid w:val="00A3233A"/>
    <w:rsid w:val="00A564D0"/>
    <w:rsid w:val="00A6500F"/>
    <w:rsid w:val="00AE4CEB"/>
    <w:rsid w:val="00BE35C0"/>
    <w:rsid w:val="00C056CD"/>
    <w:rsid w:val="00C14D47"/>
    <w:rsid w:val="00C655CA"/>
    <w:rsid w:val="00C84A25"/>
    <w:rsid w:val="00D74078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o.mejoredu.gob.mx/agenda-2030-para-el-desarrollo-sostenible-en-educacion-retos-y-prospecti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unesco.org/themes/educacion-desarrollo-sosteni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ee.edu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VANNESSA JANNETTE SOLIS ALDAPE</cp:lastModifiedBy>
  <cp:revision>2</cp:revision>
  <dcterms:created xsi:type="dcterms:W3CDTF">2021-05-31T00:09:00Z</dcterms:created>
  <dcterms:modified xsi:type="dcterms:W3CDTF">2021-05-31T00:09:00Z</dcterms:modified>
</cp:coreProperties>
</file>