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05C9" w14:textId="315BA92C" w:rsidR="00DF3BA4" w:rsidRDefault="00DF3BA4" w:rsidP="00677DE9">
      <w:pPr>
        <w:tabs>
          <w:tab w:val="right" w:leader="underscore" w:pos="8505"/>
          <w:tab w:val="left" w:pos="8647"/>
          <w:tab w:val="right" w:leader="underscore" w:pos="10065"/>
          <w:tab w:val="left" w:pos="10206"/>
          <w:tab w:val="right" w:leader="underscore" w:pos="13962"/>
        </w:tabs>
        <w:rPr>
          <w:szCs w:val="20"/>
        </w:rPr>
      </w:pPr>
    </w:p>
    <w:p w14:paraId="1C53634B" w14:textId="407968D1" w:rsidR="00DF3BA4" w:rsidRPr="00DF3BA4" w:rsidRDefault="00DF3BA4" w:rsidP="00DF3BA4">
      <w:pPr>
        <w:spacing w:after="160" w:line="259" w:lineRule="auto"/>
        <w:jc w:val="center"/>
        <w:rPr>
          <w:szCs w:val="20"/>
        </w:rPr>
      </w:pPr>
      <w:r w:rsidRPr="00925C65">
        <w:rPr>
          <w:rFonts w:eastAsia="Calibri"/>
          <w:b/>
          <w:color w:val="000000"/>
          <w:sz w:val="40"/>
          <w:szCs w:val="44"/>
        </w:rPr>
        <w:t>Escuela Normal de Educación Preescolar</w:t>
      </w:r>
    </w:p>
    <w:p w14:paraId="4615034C" w14:textId="77777777" w:rsidR="00DF3BA4" w:rsidRPr="00925C65" w:rsidRDefault="00DF3BA4" w:rsidP="00DF3BA4">
      <w:pPr>
        <w:spacing w:before="240"/>
        <w:jc w:val="center"/>
        <w:rPr>
          <w:rFonts w:eastAsia="Calibri"/>
          <w:b/>
          <w:color w:val="000000"/>
          <w:sz w:val="28"/>
          <w:szCs w:val="28"/>
        </w:rPr>
      </w:pPr>
      <w:r w:rsidRPr="00925C65">
        <w:rPr>
          <w:rFonts w:eastAsia="Calibri"/>
          <w:b/>
          <w:color w:val="000000"/>
          <w:sz w:val="28"/>
          <w:szCs w:val="28"/>
        </w:rPr>
        <w:t>Licenciatura en educación preescolar.</w:t>
      </w:r>
    </w:p>
    <w:p w14:paraId="2F2C464A" w14:textId="77777777" w:rsidR="00DF3BA4" w:rsidRDefault="00DF3BA4" w:rsidP="00DF3BA4">
      <w:pPr>
        <w:spacing w:before="240"/>
        <w:jc w:val="center"/>
        <w:rPr>
          <w:rFonts w:eastAsia="Calibri"/>
          <w:b/>
          <w:color w:val="000000"/>
          <w:sz w:val="32"/>
          <w:szCs w:val="32"/>
        </w:rPr>
      </w:pPr>
      <w:r>
        <w:rPr>
          <w:rFonts w:eastAsiaTheme="minorEastAsia"/>
          <w:noProof/>
          <w:lang w:val="es-ES"/>
        </w:rPr>
        <w:drawing>
          <wp:anchor distT="114300" distB="114300" distL="114300" distR="114300" simplePos="0" relativeHeight="251659264" behindDoc="0" locked="0" layoutInCell="1" allowOverlap="1" wp14:anchorId="73ECD862" wp14:editId="645FEE4C">
            <wp:simplePos x="0" y="0"/>
            <wp:positionH relativeFrom="margin">
              <wp:align>center</wp:align>
            </wp:positionH>
            <wp:positionV relativeFrom="margin">
              <wp:posOffset>1020594</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14:paraId="509149E4" w14:textId="77777777" w:rsidR="00DF3BA4" w:rsidRDefault="00DF3BA4" w:rsidP="00DF3BA4">
      <w:pPr>
        <w:spacing w:before="240"/>
        <w:jc w:val="center"/>
        <w:rPr>
          <w:rFonts w:eastAsia="Calibri"/>
          <w:b/>
          <w:color w:val="000000"/>
          <w:sz w:val="32"/>
          <w:szCs w:val="32"/>
        </w:rPr>
      </w:pPr>
    </w:p>
    <w:p w14:paraId="70CC94D4" w14:textId="77777777" w:rsidR="00DF3BA4" w:rsidRDefault="00DF3BA4" w:rsidP="00DF3BA4">
      <w:pPr>
        <w:spacing w:before="240"/>
        <w:jc w:val="center"/>
        <w:rPr>
          <w:rFonts w:eastAsia="Calibri"/>
          <w:b/>
          <w:color w:val="000000"/>
          <w:sz w:val="32"/>
          <w:szCs w:val="32"/>
        </w:rPr>
      </w:pPr>
    </w:p>
    <w:p w14:paraId="73768385" w14:textId="77777777" w:rsidR="00DF3BA4" w:rsidRDefault="00DF3BA4" w:rsidP="00DF3BA4">
      <w:pPr>
        <w:spacing w:before="240"/>
        <w:jc w:val="center"/>
        <w:rPr>
          <w:rFonts w:eastAsia="Calibri"/>
          <w:b/>
          <w:color w:val="000000"/>
          <w:sz w:val="32"/>
          <w:szCs w:val="32"/>
        </w:rPr>
      </w:pPr>
    </w:p>
    <w:p w14:paraId="24A084EC" w14:textId="77777777" w:rsidR="00DF3BA4" w:rsidRPr="00C27B4D" w:rsidRDefault="00DF3BA4" w:rsidP="00DF3BA4">
      <w:pPr>
        <w:spacing w:before="240"/>
        <w:jc w:val="center"/>
        <w:rPr>
          <w:rFonts w:eastAsia="Calibri"/>
          <w:b/>
          <w:color w:val="000000"/>
        </w:rPr>
      </w:pPr>
      <w:r w:rsidRPr="00C27B4D">
        <w:rPr>
          <w:rFonts w:eastAsia="Calibri"/>
          <w:b/>
          <w:color w:val="000000"/>
        </w:rPr>
        <w:t>Curso:</w:t>
      </w:r>
    </w:p>
    <w:p w14:paraId="3D181219" w14:textId="77777777" w:rsidR="00DF3BA4" w:rsidRPr="00C27B4D" w:rsidRDefault="00DF3BA4" w:rsidP="00DF3BA4">
      <w:pPr>
        <w:spacing w:before="240"/>
        <w:jc w:val="center"/>
        <w:rPr>
          <w:rFonts w:eastAsia="Calibri"/>
          <w:bCs/>
          <w:color w:val="000000"/>
        </w:rPr>
      </w:pPr>
      <w:r w:rsidRPr="00C27B4D">
        <w:rPr>
          <w:rFonts w:eastAsia="Calibri"/>
          <w:bCs/>
          <w:color w:val="000000"/>
        </w:rPr>
        <w:t xml:space="preserve">Bases legales y normativas de la educación básica. </w:t>
      </w:r>
    </w:p>
    <w:p w14:paraId="5F7B240B" w14:textId="77777777" w:rsidR="00DF3BA4" w:rsidRPr="00C27B4D" w:rsidRDefault="00DF3BA4" w:rsidP="00DF3BA4">
      <w:pPr>
        <w:spacing w:before="240"/>
        <w:jc w:val="center"/>
        <w:rPr>
          <w:rFonts w:eastAsia="Calibri"/>
          <w:b/>
          <w:color w:val="000000"/>
        </w:rPr>
      </w:pPr>
      <w:r w:rsidRPr="00C27B4D">
        <w:rPr>
          <w:rFonts w:eastAsia="Calibri"/>
          <w:b/>
          <w:color w:val="000000"/>
        </w:rPr>
        <w:t>Maestro:</w:t>
      </w:r>
    </w:p>
    <w:p w14:paraId="1222A778" w14:textId="77777777" w:rsidR="00DF3BA4" w:rsidRPr="00C27B4D" w:rsidRDefault="00DF3BA4" w:rsidP="00DF3BA4">
      <w:pPr>
        <w:spacing w:before="240"/>
        <w:jc w:val="center"/>
        <w:rPr>
          <w:rFonts w:eastAsia="Calibri"/>
          <w:bCs/>
          <w:color w:val="000000"/>
        </w:rPr>
      </w:pPr>
      <w:r w:rsidRPr="00C27B4D">
        <w:rPr>
          <w:rFonts w:eastAsia="Calibri"/>
          <w:bCs/>
          <w:color w:val="000000"/>
        </w:rPr>
        <w:t>Arturo Flores Rodríguez.</w:t>
      </w:r>
    </w:p>
    <w:p w14:paraId="567F6888" w14:textId="77777777" w:rsidR="00DF3BA4" w:rsidRPr="00C27B4D" w:rsidRDefault="00DF3BA4" w:rsidP="00DF3BA4">
      <w:pPr>
        <w:spacing w:before="240"/>
        <w:jc w:val="center"/>
        <w:rPr>
          <w:rFonts w:eastAsia="Calibri"/>
          <w:b/>
          <w:color w:val="000000"/>
        </w:rPr>
      </w:pPr>
      <w:r w:rsidRPr="00C27B4D">
        <w:rPr>
          <w:rFonts w:eastAsia="Calibri"/>
          <w:b/>
          <w:color w:val="000000"/>
        </w:rPr>
        <w:t>Alumna:</w:t>
      </w:r>
    </w:p>
    <w:p w14:paraId="70D9FD40" w14:textId="77777777" w:rsidR="00DF3BA4" w:rsidRPr="00C27B4D" w:rsidRDefault="00DF3BA4" w:rsidP="00DF3BA4">
      <w:pPr>
        <w:spacing w:before="240"/>
        <w:jc w:val="center"/>
        <w:rPr>
          <w:rFonts w:eastAsia="Calibri"/>
          <w:color w:val="000000"/>
        </w:rPr>
      </w:pPr>
      <w:r>
        <w:rPr>
          <w:rFonts w:eastAsia="Calibri"/>
          <w:color w:val="000000"/>
        </w:rPr>
        <w:t>Tamara Lizbeth López Hernández #7</w:t>
      </w:r>
    </w:p>
    <w:p w14:paraId="75D563E7" w14:textId="77777777" w:rsidR="00DF3BA4" w:rsidRPr="00C27B4D" w:rsidRDefault="00DF3BA4" w:rsidP="00DF3BA4">
      <w:pPr>
        <w:spacing w:before="240"/>
        <w:jc w:val="center"/>
        <w:rPr>
          <w:rFonts w:eastAsia="Calibri"/>
          <w:b/>
          <w:bCs/>
          <w:color w:val="000000"/>
          <w:sz w:val="28"/>
          <w:szCs w:val="28"/>
        </w:rPr>
      </w:pPr>
      <w:r w:rsidRPr="00C27B4D">
        <w:rPr>
          <w:rFonts w:eastAsia="Calibri"/>
          <w:b/>
          <w:bCs/>
          <w:color w:val="000000"/>
          <w:sz w:val="28"/>
          <w:szCs w:val="28"/>
        </w:rPr>
        <w:t>3° “B”</w:t>
      </w:r>
    </w:p>
    <w:p w14:paraId="7612336C" w14:textId="2ACE70EF" w:rsidR="00DF3BA4" w:rsidRDefault="00DF3BA4" w:rsidP="00DF3BA4">
      <w:pPr>
        <w:spacing w:before="240"/>
        <w:jc w:val="center"/>
        <w:rPr>
          <w:rFonts w:eastAsia="Calibri"/>
          <w:b/>
          <w:bCs/>
          <w:color w:val="000000"/>
          <w:sz w:val="28"/>
          <w:szCs w:val="28"/>
        </w:rPr>
      </w:pPr>
      <w:r w:rsidRPr="00C27B4D">
        <w:rPr>
          <w:rFonts w:eastAsia="Calibri"/>
          <w:b/>
          <w:bCs/>
          <w:color w:val="000000"/>
          <w:sz w:val="28"/>
          <w:szCs w:val="28"/>
        </w:rPr>
        <w:t xml:space="preserve">Actividad </w:t>
      </w:r>
      <w:r>
        <w:rPr>
          <w:rFonts w:eastAsia="Calibri"/>
          <w:b/>
          <w:bCs/>
          <w:color w:val="000000"/>
          <w:sz w:val="28"/>
          <w:szCs w:val="28"/>
        </w:rPr>
        <w:t>2.</w:t>
      </w:r>
      <w:r>
        <w:rPr>
          <w:rFonts w:eastAsia="Calibri"/>
          <w:b/>
          <w:bCs/>
          <w:color w:val="000000"/>
          <w:sz w:val="28"/>
          <w:szCs w:val="28"/>
        </w:rPr>
        <w:t>4</w:t>
      </w:r>
      <w:r w:rsidR="008966D3">
        <w:rPr>
          <w:rFonts w:eastAsia="Calibri"/>
          <w:b/>
          <w:bCs/>
          <w:color w:val="000000"/>
          <w:sz w:val="28"/>
          <w:szCs w:val="28"/>
        </w:rPr>
        <w:t>:</w:t>
      </w:r>
    </w:p>
    <w:p w14:paraId="0C977E21" w14:textId="3C6B093F" w:rsidR="008966D3" w:rsidRDefault="008966D3" w:rsidP="00DF3BA4">
      <w:pPr>
        <w:spacing w:before="240"/>
        <w:jc w:val="center"/>
        <w:rPr>
          <w:rFonts w:eastAsia="Calibri"/>
          <w:b/>
          <w:bCs/>
          <w:color w:val="000000"/>
          <w:sz w:val="28"/>
          <w:szCs w:val="28"/>
        </w:rPr>
      </w:pPr>
      <w:r>
        <w:rPr>
          <w:rFonts w:eastAsia="Calibri"/>
          <w:b/>
          <w:bCs/>
          <w:color w:val="000000"/>
          <w:sz w:val="28"/>
          <w:szCs w:val="28"/>
        </w:rPr>
        <w:t>“Desafíos</w:t>
      </w:r>
      <w:bookmarkStart w:id="0" w:name="_GoBack"/>
      <w:bookmarkEnd w:id="0"/>
      <w:r>
        <w:rPr>
          <w:rFonts w:eastAsia="Calibri"/>
          <w:b/>
          <w:bCs/>
          <w:color w:val="000000"/>
          <w:sz w:val="28"/>
          <w:szCs w:val="28"/>
        </w:rPr>
        <w:t xml:space="preserve"> de la nueva escuela mexicana”</w:t>
      </w:r>
    </w:p>
    <w:p w14:paraId="334BB444" w14:textId="77777777" w:rsidR="00DF3BA4" w:rsidRDefault="00DF3BA4" w:rsidP="00DF3BA4">
      <w:pPr>
        <w:spacing w:before="240"/>
        <w:jc w:val="center"/>
        <w:rPr>
          <w:rFonts w:eastAsia="Calibri"/>
          <w:b/>
          <w:bCs/>
          <w:color w:val="000000"/>
          <w:sz w:val="28"/>
          <w:szCs w:val="28"/>
        </w:rPr>
      </w:pPr>
      <w:r>
        <w:rPr>
          <w:rFonts w:eastAsia="Calibri"/>
          <w:b/>
          <w:bCs/>
          <w:color w:val="000000"/>
          <w:sz w:val="28"/>
          <w:szCs w:val="28"/>
        </w:rPr>
        <w:t>Competencias profesionales:</w:t>
      </w:r>
    </w:p>
    <w:p w14:paraId="7A4F5C42" w14:textId="77777777" w:rsidR="00DF3BA4" w:rsidRPr="00925C65" w:rsidRDefault="00DF3BA4" w:rsidP="00DF3BA4">
      <w:pPr>
        <w:spacing w:before="240"/>
        <w:jc w:val="center"/>
        <w:rPr>
          <w:rFonts w:eastAsia="Calibri"/>
          <w:color w:val="000000"/>
          <w:sz w:val="24"/>
        </w:rPr>
      </w:pPr>
      <w:r w:rsidRPr="00C27B4D">
        <w:rPr>
          <w:rFonts w:eastAsia="Calibri"/>
          <w:color w:val="000000"/>
          <w:sz w:val="32"/>
          <w:szCs w:val="32"/>
        </w:rPr>
        <w:t>•</w:t>
      </w:r>
      <w:r w:rsidRPr="00C27B4D">
        <w:rPr>
          <w:rFonts w:eastAsia="Calibri"/>
          <w:color w:val="000000"/>
          <w:sz w:val="32"/>
          <w:szCs w:val="32"/>
        </w:rPr>
        <w:tab/>
      </w:r>
      <w:r w:rsidRPr="00925C65">
        <w:rPr>
          <w:rFonts w:eastAsia="Calibri"/>
          <w:color w:val="000000"/>
          <w:sz w:val="24"/>
        </w:rPr>
        <w:t>Integra recursos de la investigación educativa para enriquecer su práctica profesional, expresando su interés por el conocimiento, la ciencia y la mejora de la educación.</w:t>
      </w:r>
    </w:p>
    <w:p w14:paraId="51933BB9" w14:textId="77777777" w:rsidR="00DF3BA4" w:rsidRPr="00925C65" w:rsidRDefault="00DF3BA4" w:rsidP="00DF3BA4">
      <w:pPr>
        <w:spacing w:before="240"/>
        <w:jc w:val="center"/>
        <w:rPr>
          <w:rFonts w:eastAsia="Calibri"/>
          <w:color w:val="000000"/>
          <w:sz w:val="24"/>
        </w:rPr>
      </w:pPr>
      <w:r w:rsidRPr="00925C65">
        <w:rPr>
          <w:rFonts w:eastAsia="Calibri"/>
          <w:color w:val="000000"/>
          <w:sz w:val="24"/>
        </w:rPr>
        <w:t>•</w:t>
      </w:r>
      <w:r w:rsidRPr="00925C65">
        <w:rPr>
          <w:rFonts w:eastAsia="Calibri"/>
          <w:color w:val="000000"/>
          <w:sz w:val="24"/>
        </w:rPr>
        <w:tab/>
        <w:t>Actúa de manera ética ante la diversidad de situaciones que se presentan en la práctica profesional.</w:t>
      </w:r>
    </w:p>
    <w:p w14:paraId="186709D7" w14:textId="77777777" w:rsidR="00DF3BA4" w:rsidRDefault="00DF3BA4" w:rsidP="00DF3BA4">
      <w:pPr>
        <w:spacing w:before="75" w:after="75"/>
        <w:jc w:val="center"/>
        <w:outlineLvl w:val="1"/>
        <w:rPr>
          <w:b/>
          <w:bCs/>
          <w:color w:val="000000"/>
          <w:sz w:val="44"/>
          <w:szCs w:val="44"/>
          <w:lang w:eastAsia="es-MX"/>
        </w:rPr>
      </w:pPr>
    </w:p>
    <w:p w14:paraId="2A5D51F7" w14:textId="77777777" w:rsidR="00DF3BA4" w:rsidRDefault="00DF3BA4" w:rsidP="008966D3">
      <w:pPr>
        <w:spacing w:before="75" w:after="75"/>
        <w:outlineLvl w:val="1"/>
        <w:rPr>
          <w:b/>
          <w:bCs/>
          <w:color w:val="000000"/>
          <w:sz w:val="44"/>
          <w:szCs w:val="44"/>
          <w:lang w:eastAsia="es-MX"/>
        </w:rPr>
      </w:pPr>
    </w:p>
    <w:p w14:paraId="1AC708ED" w14:textId="77777777" w:rsidR="00DF3BA4" w:rsidRDefault="00DF3BA4" w:rsidP="00DF3BA4">
      <w:pPr>
        <w:rPr>
          <w:rFonts w:eastAsia="Calibri"/>
          <w:b/>
          <w:bCs/>
          <w:color w:val="000000"/>
          <w:sz w:val="32"/>
          <w:szCs w:val="32"/>
        </w:rPr>
      </w:pPr>
    </w:p>
    <w:p w14:paraId="60AE3AEC" w14:textId="77777777" w:rsidR="00DF3BA4" w:rsidRDefault="00DF3BA4" w:rsidP="00DF3BA4">
      <w:pPr>
        <w:rPr>
          <w:rFonts w:eastAsia="Calibri"/>
          <w:b/>
          <w:bCs/>
          <w:color w:val="000000"/>
          <w:sz w:val="32"/>
          <w:szCs w:val="32"/>
        </w:rPr>
      </w:pPr>
    </w:p>
    <w:p w14:paraId="17174CE0" w14:textId="591E409A" w:rsidR="00DF3BA4" w:rsidRDefault="00DF3BA4" w:rsidP="00DF3BA4">
      <w:pPr>
        <w:rPr>
          <w:rFonts w:eastAsia="Calibri"/>
          <w:b/>
          <w:bCs/>
          <w:color w:val="000000"/>
          <w:sz w:val="32"/>
          <w:szCs w:val="32"/>
        </w:rPr>
      </w:pPr>
      <w:r w:rsidRPr="00925C65">
        <w:rPr>
          <w:rFonts w:eastAsia="Calibri"/>
          <w:b/>
          <w:bCs/>
          <w:color w:val="000000"/>
          <w:sz w:val="32"/>
          <w:szCs w:val="32"/>
        </w:rPr>
        <w:t xml:space="preserve">Saltillo Coahuila    </w:t>
      </w:r>
      <w:r>
        <w:rPr>
          <w:rFonts w:eastAsia="Calibri"/>
          <w:b/>
          <w:bCs/>
          <w:color w:val="000000"/>
          <w:sz w:val="32"/>
          <w:szCs w:val="32"/>
        </w:rPr>
        <w:t xml:space="preserve">                                        30</w:t>
      </w:r>
      <w:r>
        <w:rPr>
          <w:rFonts w:eastAsia="Calibri"/>
          <w:b/>
          <w:bCs/>
          <w:color w:val="000000"/>
          <w:sz w:val="32"/>
          <w:szCs w:val="32"/>
        </w:rPr>
        <w:t xml:space="preserve"> de mayo</w:t>
      </w:r>
      <w:r w:rsidRPr="00925C65">
        <w:rPr>
          <w:rFonts w:eastAsia="Calibri"/>
          <w:b/>
          <w:bCs/>
          <w:color w:val="000000"/>
          <w:sz w:val="32"/>
          <w:szCs w:val="32"/>
        </w:rPr>
        <w:t xml:space="preserve"> del 2021</w:t>
      </w:r>
    </w:p>
    <w:p w14:paraId="3962BF58" w14:textId="77777777" w:rsidR="00DF3BA4" w:rsidRDefault="00DF3BA4" w:rsidP="00677DE9">
      <w:pPr>
        <w:tabs>
          <w:tab w:val="right" w:leader="underscore" w:pos="8505"/>
          <w:tab w:val="left" w:pos="8647"/>
          <w:tab w:val="right" w:leader="underscore" w:pos="10065"/>
          <w:tab w:val="left" w:pos="10206"/>
          <w:tab w:val="right" w:leader="underscore" w:pos="13962"/>
        </w:tabs>
        <w:rPr>
          <w:szCs w:val="20"/>
        </w:rPr>
        <w:sectPr w:rsidR="00DF3BA4" w:rsidSect="00DF3BA4">
          <w:pgSz w:w="12240" w:h="15840"/>
          <w:pgMar w:top="1417" w:right="1701" w:bottom="567" w:left="993" w:header="708" w:footer="708" w:gutter="0"/>
          <w:cols w:space="708"/>
          <w:docGrid w:linePitch="360"/>
        </w:sectPr>
      </w:pPr>
    </w:p>
    <w:p w14:paraId="6A35E9EA" w14:textId="3FC310A7" w:rsidR="00A6500F" w:rsidRDefault="00A6500F" w:rsidP="00677DE9">
      <w:pPr>
        <w:tabs>
          <w:tab w:val="right" w:leader="underscore" w:pos="8505"/>
          <w:tab w:val="left" w:pos="8647"/>
          <w:tab w:val="right" w:leader="underscore" w:pos="10065"/>
          <w:tab w:val="left" w:pos="10206"/>
          <w:tab w:val="right" w:leader="underscore" w:pos="13962"/>
        </w:tabs>
        <w:rPr>
          <w:szCs w:val="20"/>
        </w:rPr>
      </w:pPr>
    </w:p>
    <w:p w14:paraId="2364C958" w14:textId="16967EE7" w:rsidR="00677DE9" w:rsidRDefault="005034BA" w:rsidP="00E91B19">
      <w:pPr>
        <w:pStyle w:val="Prrafodelista"/>
        <w:numPr>
          <w:ilvl w:val="0"/>
          <w:numId w:val="1"/>
        </w:numPr>
        <w:tabs>
          <w:tab w:val="right" w:leader="underscore" w:pos="8505"/>
          <w:tab w:val="left" w:pos="8647"/>
          <w:tab w:val="right" w:leader="underscore" w:pos="10065"/>
          <w:tab w:val="left" w:pos="10206"/>
          <w:tab w:val="right" w:leader="underscore" w:pos="13962"/>
        </w:tabs>
        <w:rPr>
          <w:b/>
          <w:szCs w:val="20"/>
        </w:rPr>
      </w:pPr>
      <w:r>
        <w:rPr>
          <w:b/>
          <w:szCs w:val="20"/>
        </w:rPr>
        <w:t>RÚBRICA ACTIVIDAD 2.4</w:t>
      </w:r>
      <w:r w:rsidR="007A1F24" w:rsidRPr="00E91B19">
        <w:rPr>
          <w:b/>
          <w:szCs w:val="20"/>
        </w:rPr>
        <w:t>.</w:t>
      </w:r>
    </w:p>
    <w:p w14:paraId="4C52ED00" w14:textId="1ABD2EFF" w:rsidR="005034BA" w:rsidRDefault="005034BA" w:rsidP="005034BA">
      <w:pPr>
        <w:pStyle w:val="Prrafodelista"/>
        <w:tabs>
          <w:tab w:val="right" w:leader="underscore" w:pos="8505"/>
          <w:tab w:val="left" w:pos="8647"/>
          <w:tab w:val="right" w:leader="underscore" w:pos="10065"/>
          <w:tab w:val="left" w:pos="10206"/>
          <w:tab w:val="right" w:leader="underscore" w:pos="13962"/>
        </w:tabs>
        <w:rPr>
          <w:b/>
          <w:szCs w:val="20"/>
        </w:rPr>
      </w:pPr>
      <w:r w:rsidRPr="005034BA">
        <w:rPr>
          <w:szCs w:val="20"/>
        </w:rPr>
        <w:t>El plagio invalida actividad</w:t>
      </w:r>
      <w:r w:rsidRPr="005034BA">
        <w:rPr>
          <w:b/>
          <w:szCs w:val="20"/>
        </w:rPr>
        <w:t>.</w:t>
      </w:r>
    </w:p>
    <w:p w14:paraId="3E8ABB50" w14:textId="6B40B8DD" w:rsidR="005034BA" w:rsidRDefault="005034BA"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112B29BD" w14:textId="77777777" w:rsidR="005034BA" w:rsidRPr="00362F32" w:rsidRDefault="005034BA" w:rsidP="005034BA">
      <w:pPr>
        <w:pStyle w:val="Prrafodelista"/>
        <w:numPr>
          <w:ilvl w:val="0"/>
          <w:numId w:val="2"/>
        </w:numPr>
        <w:autoSpaceDE w:val="0"/>
        <w:autoSpaceDN w:val="0"/>
        <w:adjustRightInd w:val="0"/>
        <w:jc w:val="both"/>
        <w:rPr>
          <w:rFonts w:ascii="Montserrat-Regular" w:hAnsi="Montserrat-Regular" w:cs="Montserrat-Regular"/>
          <w:color w:val="231F20"/>
          <w:sz w:val="20"/>
          <w:szCs w:val="20"/>
        </w:rPr>
      </w:pPr>
      <w:r w:rsidRPr="00362F32">
        <w:rPr>
          <w:rFonts w:ascii="Montserrat-Regular" w:hAnsi="Montserrat-Regular" w:cs="Montserrat-Regular"/>
          <w:color w:val="231F20"/>
          <w:sz w:val="20"/>
          <w:szCs w:val="20"/>
        </w:rPr>
        <w:t>A partir de la lectura “Desafíos de la nueva escuela mexicana”, completa el cuadro, escribiendo cómo explicarías a otro colega, con tus propias palabras, cada uno de los desafíos ahí propuestos.</w:t>
      </w:r>
    </w:p>
    <w:p w14:paraId="3FECF1E2"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tbl>
      <w:tblPr>
        <w:tblStyle w:val="Tablaconcuadrcula"/>
        <w:tblW w:w="13887" w:type="dxa"/>
        <w:tblLook w:val="04A0" w:firstRow="1" w:lastRow="0" w:firstColumn="1" w:lastColumn="0" w:noHBand="0" w:noVBand="1"/>
      </w:tblPr>
      <w:tblGrid>
        <w:gridCol w:w="4414"/>
        <w:gridCol w:w="9473"/>
      </w:tblGrid>
      <w:tr w:rsidR="005034BA" w14:paraId="069F59F9" w14:textId="77777777" w:rsidTr="005034BA">
        <w:tc>
          <w:tcPr>
            <w:tcW w:w="4414" w:type="dxa"/>
          </w:tcPr>
          <w:p w14:paraId="00083AC1" w14:textId="77777777" w:rsidR="005034BA" w:rsidRDefault="005034BA" w:rsidP="00AD5C33">
            <w:pPr>
              <w:autoSpaceDE w:val="0"/>
              <w:autoSpaceDN w:val="0"/>
              <w:adjustRightInd w:val="0"/>
              <w:jc w:val="both"/>
              <w:rPr>
                <w:rFonts w:ascii="Montserrat-Bold" w:hAnsi="Montserrat-Bold" w:cs="Montserrat-Bold"/>
                <w:b/>
                <w:bCs/>
                <w:color w:val="000000"/>
                <w:sz w:val="20"/>
                <w:szCs w:val="20"/>
              </w:rPr>
            </w:pPr>
            <w:r w:rsidRPr="007E6E5F">
              <w:rPr>
                <w:rFonts w:ascii="Montserrat-Bold" w:hAnsi="Montserrat-Bold" w:cs="Montserrat-Bold"/>
                <w:b/>
                <w:bCs/>
                <w:color w:val="000000"/>
                <w:sz w:val="20"/>
                <w:szCs w:val="20"/>
              </w:rPr>
              <w:t>Desafíos de la nueva escuela mexicana</w:t>
            </w:r>
          </w:p>
        </w:tc>
        <w:tc>
          <w:tcPr>
            <w:tcW w:w="9473" w:type="dxa"/>
          </w:tcPr>
          <w:p w14:paraId="56C2B4CF" w14:textId="77777777" w:rsidR="005034BA" w:rsidRDefault="005034BA" w:rsidP="00AD5C33">
            <w:pPr>
              <w:autoSpaceDE w:val="0"/>
              <w:autoSpaceDN w:val="0"/>
              <w:adjustRightInd w:val="0"/>
              <w:jc w:val="both"/>
              <w:rPr>
                <w:rFonts w:ascii="Montserrat-Bold" w:hAnsi="Montserrat-Bold" w:cs="Montserrat-Bold"/>
                <w:b/>
                <w:bCs/>
                <w:color w:val="000000"/>
                <w:sz w:val="20"/>
                <w:szCs w:val="20"/>
              </w:rPr>
            </w:pPr>
            <w:r>
              <w:rPr>
                <w:rFonts w:ascii="Montserrat-Bold" w:hAnsi="Montserrat-Bold" w:cs="Montserrat-Bold"/>
                <w:b/>
                <w:bCs/>
                <w:color w:val="000000"/>
                <w:sz w:val="20"/>
                <w:szCs w:val="20"/>
              </w:rPr>
              <w:t xml:space="preserve">Tu </w:t>
            </w:r>
            <w:r w:rsidRPr="007E6E5F">
              <w:rPr>
                <w:rFonts w:ascii="Montserrat-Bold" w:hAnsi="Montserrat-Bold" w:cs="Montserrat-Bold"/>
                <w:b/>
                <w:bCs/>
                <w:color w:val="000000"/>
                <w:sz w:val="20"/>
                <w:szCs w:val="20"/>
              </w:rPr>
              <w:t>explicación</w:t>
            </w:r>
          </w:p>
        </w:tc>
      </w:tr>
      <w:tr w:rsidR="005034BA" w14:paraId="742E80F1" w14:textId="77777777" w:rsidTr="005034BA">
        <w:tc>
          <w:tcPr>
            <w:tcW w:w="4414" w:type="dxa"/>
          </w:tcPr>
          <w:p w14:paraId="2A4B4E5F" w14:textId="77777777" w:rsidR="005034BA" w:rsidRPr="007E6E5F" w:rsidRDefault="005034BA" w:rsidP="00AD5C33">
            <w:pPr>
              <w:autoSpaceDE w:val="0"/>
              <w:autoSpaceDN w:val="0"/>
              <w:adjustRightInd w:val="0"/>
              <w:jc w:val="both"/>
              <w:rPr>
                <w:rFonts w:ascii="Montserrat-Regular" w:hAnsi="Montserrat-Regular" w:cs="Montserrat-Regular"/>
                <w:color w:val="231F20"/>
                <w:sz w:val="20"/>
                <w:szCs w:val="20"/>
              </w:rPr>
            </w:pPr>
            <w:r>
              <w:rPr>
                <w:rFonts w:ascii="Montserrat-Bold" w:hAnsi="Montserrat-Bold" w:cs="Montserrat-Bold"/>
                <w:b/>
                <w:bCs/>
                <w:color w:val="231F20"/>
                <w:sz w:val="20"/>
                <w:szCs w:val="20"/>
              </w:rPr>
              <w:t xml:space="preserve">Desafío 1: </w:t>
            </w:r>
            <w:r>
              <w:rPr>
                <w:rFonts w:ascii="Montserrat-Regular" w:hAnsi="Montserrat-Regular" w:cs="Montserrat-Regular"/>
                <w:color w:val="231F20"/>
                <w:sz w:val="20"/>
                <w:szCs w:val="20"/>
              </w:rPr>
              <w:t>Asegurar la igualdad de oportunidades educativas para todas las niñas, niños, adolescentes y jóvenes de nuestro país (0 a 21años), particularmente para los más pobres, esto resulta esencial desde el punto de vista de mejorar las condiciones de justicia social.</w:t>
            </w:r>
          </w:p>
        </w:tc>
        <w:tc>
          <w:tcPr>
            <w:tcW w:w="9473" w:type="dxa"/>
          </w:tcPr>
          <w:p w14:paraId="260A4CBC" w14:textId="72776379" w:rsidR="005034BA" w:rsidRPr="007D4B83" w:rsidRDefault="00B66BBF" w:rsidP="00AD5C33">
            <w:pPr>
              <w:autoSpaceDE w:val="0"/>
              <w:autoSpaceDN w:val="0"/>
              <w:adjustRightInd w:val="0"/>
              <w:jc w:val="both"/>
              <w:rPr>
                <w:rFonts w:ascii="Montserrat-Bold" w:hAnsi="Montserrat-Bold" w:cs="Montserrat-Bold"/>
                <w:bCs/>
                <w:color w:val="000000"/>
                <w:sz w:val="20"/>
                <w:szCs w:val="20"/>
              </w:rPr>
            </w:pPr>
            <w:r w:rsidRPr="007D4B83">
              <w:rPr>
                <w:rFonts w:ascii="Montserrat-Bold" w:hAnsi="Montserrat-Bold" w:cs="Montserrat-Bold"/>
                <w:bCs/>
                <w:color w:val="000000"/>
                <w:sz w:val="20"/>
                <w:szCs w:val="20"/>
              </w:rPr>
              <w:t xml:space="preserve">La NEM, cuenta con el propósito de </w:t>
            </w:r>
            <w:r w:rsidR="007D4B83" w:rsidRPr="007D4B83">
              <w:rPr>
                <w:rFonts w:ascii="Montserrat-Bold" w:hAnsi="Montserrat-Bold" w:cs="Montserrat-Bold"/>
                <w:bCs/>
                <w:color w:val="000000"/>
                <w:sz w:val="20"/>
                <w:szCs w:val="20"/>
              </w:rPr>
              <w:t xml:space="preserve">brindar educación a todos los niños y jóvenes por igual, dentro de cualquier nivel educativo, tomando en cuenta las necesidades de cada uno de éstos, de esta forma todos los niños podrán contar con las mismas oportunidades para salir adelante. </w:t>
            </w:r>
          </w:p>
        </w:tc>
      </w:tr>
      <w:tr w:rsidR="005034BA" w14:paraId="51747BB2" w14:textId="77777777" w:rsidTr="005034BA">
        <w:tc>
          <w:tcPr>
            <w:tcW w:w="4414" w:type="dxa"/>
          </w:tcPr>
          <w:p w14:paraId="371583AE" w14:textId="77777777" w:rsidR="005034BA" w:rsidRDefault="005034BA" w:rsidP="00AD5C33">
            <w:pPr>
              <w:autoSpaceDE w:val="0"/>
              <w:autoSpaceDN w:val="0"/>
              <w:adjustRightInd w:val="0"/>
              <w:jc w:val="both"/>
              <w:rPr>
                <w:rFonts w:ascii="Montserrat-Regular" w:hAnsi="Montserrat-Regular" w:cs="Montserrat-Regular"/>
                <w:color w:val="231F20"/>
                <w:sz w:val="20"/>
                <w:szCs w:val="20"/>
              </w:rPr>
            </w:pPr>
            <w:r>
              <w:rPr>
                <w:rFonts w:ascii="Montserrat-Bold" w:hAnsi="Montserrat-Bold" w:cs="Montserrat-Bold"/>
                <w:b/>
                <w:bCs/>
                <w:color w:val="231F20"/>
                <w:sz w:val="20"/>
                <w:szCs w:val="20"/>
              </w:rPr>
              <w:t xml:space="preserve">Desafío 2: </w:t>
            </w:r>
            <w:r>
              <w:rPr>
                <w:rFonts w:ascii="Montserrat-Regular" w:hAnsi="Montserrat-Regular" w:cs="Montserrat-Regular"/>
                <w:color w:val="231F20"/>
                <w:sz w:val="20"/>
                <w:szCs w:val="20"/>
              </w:rPr>
              <w:t>La NEM fomenta la comprensión y el aprecio por la diversidad cultural y lingüística, así como el diálogo y el intercambio intercultural sobre una base de equidad y respeto mutuo.</w:t>
            </w:r>
          </w:p>
          <w:p w14:paraId="4F6973DD" w14:textId="77777777" w:rsidR="005034BA" w:rsidRDefault="005034BA" w:rsidP="00AD5C33">
            <w:pPr>
              <w:autoSpaceDE w:val="0"/>
              <w:autoSpaceDN w:val="0"/>
              <w:adjustRightInd w:val="0"/>
              <w:jc w:val="both"/>
              <w:rPr>
                <w:rFonts w:ascii="Montserrat-Bold" w:hAnsi="Montserrat-Bold" w:cs="Montserrat-Bold"/>
                <w:b/>
                <w:bCs/>
                <w:color w:val="000000"/>
                <w:sz w:val="20"/>
                <w:szCs w:val="20"/>
              </w:rPr>
            </w:pPr>
          </w:p>
        </w:tc>
        <w:tc>
          <w:tcPr>
            <w:tcW w:w="9473" w:type="dxa"/>
          </w:tcPr>
          <w:p w14:paraId="1B8ED455" w14:textId="15E87B3B" w:rsidR="005034BA" w:rsidRPr="00B66BBF" w:rsidRDefault="00B66BBF" w:rsidP="00AD5C33">
            <w:pPr>
              <w:autoSpaceDE w:val="0"/>
              <w:autoSpaceDN w:val="0"/>
              <w:adjustRightInd w:val="0"/>
              <w:jc w:val="both"/>
              <w:rPr>
                <w:rFonts w:ascii="Montserrat-Bold" w:hAnsi="Montserrat-Bold" w:cs="Montserrat-Bold"/>
                <w:bCs/>
                <w:color w:val="000000"/>
                <w:sz w:val="20"/>
                <w:szCs w:val="20"/>
              </w:rPr>
            </w:pPr>
            <w:r w:rsidRPr="00B66BBF">
              <w:rPr>
                <w:rFonts w:ascii="Montserrat-Bold" w:hAnsi="Montserrat-Bold" w:cs="Montserrat-Bold"/>
                <w:bCs/>
                <w:color w:val="000000"/>
                <w:sz w:val="20"/>
                <w:szCs w:val="20"/>
              </w:rPr>
              <w:t>La</w:t>
            </w:r>
            <w:r>
              <w:rPr>
                <w:rFonts w:ascii="Montserrat-Bold" w:hAnsi="Montserrat-Bold" w:cs="Montserrat-Bold"/>
                <w:bCs/>
                <w:color w:val="000000"/>
                <w:sz w:val="20"/>
                <w:szCs w:val="20"/>
              </w:rPr>
              <w:t xml:space="preserve"> nueva escuela mexicana, se basa en promover la igualdad, el respeto y la toleranc</w:t>
            </w:r>
            <w:r w:rsidR="007D4B83">
              <w:rPr>
                <w:rFonts w:ascii="Montserrat-Bold" w:hAnsi="Montserrat-Bold" w:cs="Montserrat-Bold"/>
                <w:bCs/>
                <w:color w:val="000000"/>
                <w:sz w:val="20"/>
                <w:szCs w:val="20"/>
              </w:rPr>
              <w:t xml:space="preserve">ia hacia la diversidad cultural, esto con el fin de </w:t>
            </w:r>
            <w:r w:rsidR="00E65D43">
              <w:rPr>
                <w:rFonts w:ascii="Montserrat-Bold" w:hAnsi="Montserrat-Bold" w:cs="Montserrat-Bold"/>
                <w:bCs/>
                <w:color w:val="000000"/>
                <w:sz w:val="20"/>
                <w:szCs w:val="20"/>
              </w:rPr>
              <w:t xml:space="preserve">crear una sociedad respetuosa y en la cual se practique la equidad. </w:t>
            </w:r>
          </w:p>
        </w:tc>
      </w:tr>
      <w:tr w:rsidR="005034BA" w14:paraId="45AD3C06" w14:textId="77777777" w:rsidTr="005034BA">
        <w:tc>
          <w:tcPr>
            <w:tcW w:w="4414" w:type="dxa"/>
          </w:tcPr>
          <w:p w14:paraId="7CBA4C0E" w14:textId="77777777" w:rsidR="005034BA" w:rsidRDefault="005034BA" w:rsidP="00AD5C33">
            <w:pPr>
              <w:autoSpaceDE w:val="0"/>
              <w:autoSpaceDN w:val="0"/>
              <w:adjustRightInd w:val="0"/>
              <w:jc w:val="both"/>
              <w:rPr>
                <w:rFonts w:ascii="Montserrat-Regular" w:hAnsi="Montserrat-Regular" w:cs="Montserrat-Regular"/>
                <w:color w:val="231F20"/>
                <w:sz w:val="20"/>
                <w:szCs w:val="20"/>
              </w:rPr>
            </w:pPr>
            <w:r>
              <w:rPr>
                <w:rFonts w:ascii="Montserrat-Bold" w:hAnsi="Montserrat-Bold" w:cs="Montserrat-Bold"/>
                <w:b/>
                <w:bCs/>
                <w:color w:val="231F20"/>
                <w:sz w:val="20"/>
                <w:szCs w:val="20"/>
              </w:rPr>
              <w:t xml:space="preserve">Desafío 3: </w:t>
            </w:r>
            <w:r>
              <w:rPr>
                <w:rFonts w:ascii="Montserrat-Regular" w:hAnsi="Montserrat-Regular" w:cs="Montserrat-Regular"/>
                <w:color w:val="231F20"/>
                <w:sz w:val="20"/>
                <w:szCs w:val="20"/>
              </w:rPr>
              <w:t>La NEM fomenta el amor a la Patria, el aprecio por su cultura, el conocimiento de su historia y el compromiso con los valores plasmados en la Constitución Política.</w:t>
            </w:r>
          </w:p>
          <w:p w14:paraId="1204A09C" w14:textId="77777777" w:rsidR="005034BA" w:rsidRDefault="005034BA" w:rsidP="00AD5C33">
            <w:pPr>
              <w:autoSpaceDE w:val="0"/>
              <w:autoSpaceDN w:val="0"/>
              <w:adjustRightInd w:val="0"/>
              <w:jc w:val="both"/>
              <w:rPr>
                <w:rFonts w:ascii="Montserrat-Bold" w:hAnsi="Montserrat-Bold" w:cs="Montserrat-Bold"/>
                <w:b/>
                <w:bCs/>
                <w:color w:val="000000"/>
                <w:sz w:val="20"/>
                <w:szCs w:val="20"/>
              </w:rPr>
            </w:pPr>
          </w:p>
        </w:tc>
        <w:tc>
          <w:tcPr>
            <w:tcW w:w="9473" w:type="dxa"/>
          </w:tcPr>
          <w:p w14:paraId="56924D53" w14:textId="26C57E06" w:rsidR="005034BA" w:rsidRPr="00E65D43" w:rsidRDefault="00E65D43" w:rsidP="00AD5C33">
            <w:pPr>
              <w:autoSpaceDE w:val="0"/>
              <w:autoSpaceDN w:val="0"/>
              <w:adjustRightInd w:val="0"/>
              <w:jc w:val="both"/>
              <w:rPr>
                <w:rFonts w:ascii="Montserrat-Bold" w:hAnsi="Montserrat-Bold" w:cs="Montserrat-Bold"/>
                <w:bCs/>
                <w:color w:val="000000"/>
                <w:sz w:val="20"/>
                <w:szCs w:val="20"/>
              </w:rPr>
            </w:pPr>
            <w:r w:rsidRPr="00E65D43">
              <w:rPr>
                <w:rFonts w:ascii="Montserrat-Bold" w:hAnsi="Montserrat-Bold" w:cs="Montserrat-Bold"/>
                <w:bCs/>
                <w:color w:val="000000"/>
                <w:sz w:val="20"/>
                <w:szCs w:val="20"/>
              </w:rPr>
              <w:t>L</w:t>
            </w:r>
            <w:r>
              <w:rPr>
                <w:rFonts w:ascii="Montserrat-Bold" w:hAnsi="Montserrat-Bold" w:cs="Montserrat-Bold"/>
                <w:bCs/>
                <w:color w:val="000000"/>
                <w:sz w:val="20"/>
                <w:szCs w:val="20"/>
              </w:rPr>
              <w:t>a nueva escuela mexicana, busca que todos los individuos conozcan y aprecien su identidad cultural, así como su historia, de esta forma podrán transmitir su amor hacia la patria y sus valores.</w:t>
            </w:r>
          </w:p>
        </w:tc>
      </w:tr>
    </w:tbl>
    <w:p w14:paraId="21E487FA"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p w14:paraId="57413479"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p w14:paraId="7B86D7B3" w14:textId="77777777" w:rsidR="005034BA" w:rsidRPr="00362F32" w:rsidRDefault="005034BA" w:rsidP="005034BA">
      <w:pPr>
        <w:pStyle w:val="Prrafodelista"/>
        <w:numPr>
          <w:ilvl w:val="0"/>
          <w:numId w:val="2"/>
        </w:numPr>
        <w:autoSpaceDE w:val="0"/>
        <w:autoSpaceDN w:val="0"/>
        <w:adjustRightInd w:val="0"/>
        <w:jc w:val="both"/>
        <w:rPr>
          <w:rFonts w:ascii="Montserrat-Regular" w:hAnsi="Montserrat-Regular" w:cs="Montserrat-Regular"/>
          <w:color w:val="000000"/>
          <w:sz w:val="20"/>
          <w:szCs w:val="20"/>
        </w:rPr>
      </w:pPr>
      <w:r w:rsidRPr="00362F32">
        <w:rPr>
          <w:rFonts w:ascii="Montserrat-Regular" w:hAnsi="Montserrat-Regular" w:cs="Montserrat-Regular"/>
          <w:color w:val="000000"/>
          <w:sz w:val="20"/>
          <w:szCs w:val="20"/>
        </w:rPr>
        <w:t xml:space="preserve">Lee los numerales 4.1, 4.2, 4.5, 4.7 y 4.c del objetivo 4, Garantizar una educación inclusiva y equitativa de calidad y promover oportunidades de aprendizaje permanente para todos, de la </w:t>
      </w:r>
      <w:r w:rsidRPr="00362F32">
        <w:rPr>
          <w:rFonts w:ascii="Montserrat-Bold" w:hAnsi="Montserrat-Bold" w:cs="Montserrat-Bold"/>
          <w:b/>
          <w:bCs/>
          <w:color w:val="000000"/>
          <w:sz w:val="20"/>
          <w:szCs w:val="20"/>
        </w:rPr>
        <w:t xml:space="preserve">Declaración de </w:t>
      </w:r>
      <w:proofErr w:type="spellStart"/>
      <w:r w:rsidRPr="00362F32">
        <w:rPr>
          <w:rFonts w:ascii="Montserrat-Bold" w:hAnsi="Montserrat-Bold" w:cs="Montserrat-Bold"/>
          <w:b/>
          <w:bCs/>
          <w:color w:val="000000"/>
          <w:sz w:val="20"/>
          <w:szCs w:val="20"/>
        </w:rPr>
        <w:t>Incheon</w:t>
      </w:r>
      <w:proofErr w:type="spellEnd"/>
      <w:r w:rsidRPr="00362F32">
        <w:rPr>
          <w:rFonts w:ascii="Montserrat-Bold" w:hAnsi="Montserrat-Bold" w:cs="Montserrat-Bold"/>
          <w:b/>
          <w:bCs/>
          <w:color w:val="000000"/>
          <w:sz w:val="20"/>
          <w:szCs w:val="20"/>
        </w:rPr>
        <w:t xml:space="preserve"> y Marco de Acción ODS 4–Educación 2030.</w:t>
      </w:r>
    </w:p>
    <w:p w14:paraId="7F0DF4BF" w14:textId="77777777" w:rsidR="005034BA" w:rsidRDefault="008966D3" w:rsidP="005034BA">
      <w:pPr>
        <w:autoSpaceDE w:val="0"/>
        <w:autoSpaceDN w:val="0"/>
        <w:adjustRightInd w:val="0"/>
        <w:ind w:firstLine="708"/>
        <w:jc w:val="both"/>
        <w:rPr>
          <w:rFonts w:ascii="Montserrat-Regular" w:hAnsi="Montserrat-Regular" w:cs="Montserrat-Regular"/>
          <w:color w:val="0563C2"/>
          <w:sz w:val="20"/>
          <w:szCs w:val="20"/>
        </w:rPr>
      </w:pPr>
      <w:hyperlink r:id="rId6" w:history="1">
        <w:r w:rsidR="005034BA" w:rsidRPr="003259C7">
          <w:rPr>
            <w:rStyle w:val="Hipervnculo"/>
            <w:rFonts w:ascii="Montserrat-Regular" w:hAnsi="Montserrat-Regular" w:cs="Montserrat-Regular"/>
            <w:sz w:val="20"/>
            <w:szCs w:val="20"/>
          </w:rPr>
          <w:t>https://unesdoc.unesco.org/ark:/48223/pf0000245656_spa</w:t>
        </w:r>
      </w:hyperlink>
    </w:p>
    <w:p w14:paraId="55733401" w14:textId="77777777" w:rsidR="005034BA" w:rsidRDefault="005034BA" w:rsidP="005034BA">
      <w:pPr>
        <w:autoSpaceDE w:val="0"/>
        <w:autoSpaceDN w:val="0"/>
        <w:adjustRightInd w:val="0"/>
        <w:jc w:val="both"/>
        <w:rPr>
          <w:rFonts w:ascii="Montserrat-Regular" w:hAnsi="Montserrat-Regular" w:cs="Montserrat-Regular"/>
          <w:color w:val="0563C2"/>
          <w:sz w:val="20"/>
          <w:szCs w:val="20"/>
        </w:rPr>
      </w:pPr>
    </w:p>
    <w:p w14:paraId="3F9EE481" w14:textId="77777777" w:rsidR="005034BA" w:rsidRPr="00362F32" w:rsidRDefault="005034BA" w:rsidP="005034BA">
      <w:pPr>
        <w:autoSpaceDE w:val="0"/>
        <w:autoSpaceDN w:val="0"/>
        <w:adjustRightInd w:val="0"/>
        <w:ind w:left="708"/>
        <w:jc w:val="both"/>
        <w:rPr>
          <w:rFonts w:ascii="Montserrat-Regular" w:hAnsi="Montserrat-Regular" w:cs="Montserrat-Regular"/>
          <w:color w:val="000000"/>
          <w:sz w:val="20"/>
          <w:szCs w:val="20"/>
        </w:rPr>
      </w:pPr>
      <w:r>
        <w:rPr>
          <w:rFonts w:ascii="SymbolMT" w:hAnsi="SymbolMT" w:cs="SymbolMT"/>
          <w:color w:val="000000"/>
          <w:sz w:val="20"/>
          <w:szCs w:val="20"/>
        </w:rPr>
        <w:t xml:space="preserve">• </w:t>
      </w:r>
      <w:r>
        <w:rPr>
          <w:rFonts w:ascii="Montserrat-Regular" w:hAnsi="Montserrat-Regular" w:cs="Montserrat-Regular"/>
          <w:color w:val="000000"/>
          <w:sz w:val="20"/>
          <w:szCs w:val="20"/>
        </w:rPr>
        <w:t xml:space="preserve">¿Cuáles consideras que son las responsabilidades de las maestras y los maestros en el trabajo del aula y la escuela en el cumplimiento de las metas de la Declaración de </w:t>
      </w:r>
      <w:proofErr w:type="spellStart"/>
      <w:r>
        <w:rPr>
          <w:rFonts w:ascii="Montserrat-Regular" w:hAnsi="Montserrat-Regular" w:cs="Montserrat-Regular"/>
          <w:color w:val="000000"/>
          <w:sz w:val="20"/>
          <w:szCs w:val="20"/>
        </w:rPr>
        <w:t>Incheon</w:t>
      </w:r>
      <w:proofErr w:type="spellEnd"/>
      <w:r>
        <w:rPr>
          <w:rFonts w:ascii="Montserrat-Regular" w:hAnsi="Montserrat-Regular" w:cs="Montserrat-Regular"/>
          <w:color w:val="000000"/>
          <w:sz w:val="20"/>
          <w:szCs w:val="20"/>
        </w:rPr>
        <w:t xml:space="preserve"> y Marco de Acción ODS 4–Educación 2030? Argumenta tus respuestas en la tabla</w:t>
      </w:r>
      <w:r>
        <w:rPr>
          <w:rFonts w:ascii="Montserrat-Bold" w:hAnsi="Montserrat-Bold" w:cs="Montserrat-Bold"/>
          <w:b/>
          <w:bCs/>
          <w:color w:val="000000"/>
          <w:sz w:val="20"/>
          <w:szCs w:val="20"/>
        </w:rPr>
        <w:t>.</w:t>
      </w:r>
    </w:p>
    <w:p w14:paraId="4DB0F00B"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p w14:paraId="17F5C544" w14:textId="77777777" w:rsidR="005034BA" w:rsidRDefault="005034BA" w:rsidP="005034BA">
      <w:pPr>
        <w:autoSpaceDE w:val="0"/>
        <w:autoSpaceDN w:val="0"/>
        <w:adjustRightInd w:val="0"/>
        <w:jc w:val="both"/>
        <w:rPr>
          <w:rFonts w:ascii="Montserrat-Bold" w:hAnsi="Montserrat-Bold" w:cs="Montserrat-Bold"/>
          <w:b/>
          <w:bCs/>
          <w:color w:val="000000"/>
          <w:sz w:val="20"/>
          <w:szCs w:val="20"/>
        </w:rPr>
      </w:pPr>
    </w:p>
    <w:tbl>
      <w:tblPr>
        <w:tblStyle w:val="Tablaconcuadrcula"/>
        <w:tblW w:w="13887" w:type="dxa"/>
        <w:tblLook w:val="04A0" w:firstRow="1" w:lastRow="0" w:firstColumn="1" w:lastColumn="0" w:noHBand="0" w:noVBand="1"/>
      </w:tblPr>
      <w:tblGrid>
        <w:gridCol w:w="13887"/>
      </w:tblGrid>
      <w:tr w:rsidR="005034BA" w14:paraId="63FC74C5" w14:textId="77777777" w:rsidTr="005034BA">
        <w:tc>
          <w:tcPr>
            <w:tcW w:w="13887" w:type="dxa"/>
          </w:tcPr>
          <w:p w14:paraId="4A9D916D" w14:textId="77777777" w:rsidR="005034BA" w:rsidRDefault="005034BA" w:rsidP="00AD5C33">
            <w:pPr>
              <w:autoSpaceDE w:val="0"/>
              <w:autoSpaceDN w:val="0"/>
              <w:adjustRightInd w:val="0"/>
              <w:jc w:val="both"/>
              <w:rPr>
                <w:rFonts w:ascii="Montserrat-Bold" w:hAnsi="Montserrat-Bold" w:cs="Montserrat-Bold"/>
                <w:b/>
                <w:bCs/>
                <w:color w:val="000000"/>
                <w:sz w:val="20"/>
                <w:szCs w:val="20"/>
              </w:rPr>
            </w:pPr>
            <w:r>
              <w:rPr>
                <w:rFonts w:ascii="Montserrat-Bold" w:hAnsi="Montserrat-Bold" w:cs="Montserrat-Bold"/>
                <w:b/>
                <w:bCs/>
                <w:color w:val="000000"/>
                <w:sz w:val="20"/>
                <w:szCs w:val="20"/>
              </w:rPr>
              <w:t xml:space="preserve">Responsabilidades de las maestras y los maestros en el cumplimiento de las metas de la Declaración de </w:t>
            </w:r>
            <w:proofErr w:type="spellStart"/>
            <w:r>
              <w:rPr>
                <w:rFonts w:ascii="Montserrat-Bold" w:hAnsi="Montserrat-Bold" w:cs="Montserrat-Bold"/>
                <w:b/>
                <w:bCs/>
                <w:color w:val="000000"/>
                <w:sz w:val="20"/>
                <w:szCs w:val="20"/>
              </w:rPr>
              <w:t>Incheon</w:t>
            </w:r>
            <w:proofErr w:type="spellEnd"/>
            <w:r>
              <w:rPr>
                <w:rFonts w:ascii="Montserrat-Bold" w:hAnsi="Montserrat-Bold" w:cs="Montserrat-Bold"/>
                <w:b/>
                <w:bCs/>
                <w:color w:val="000000"/>
                <w:sz w:val="20"/>
                <w:szCs w:val="20"/>
              </w:rPr>
              <w:t xml:space="preserve"> </w:t>
            </w:r>
            <w:r w:rsidRPr="00362F32">
              <w:rPr>
                <w:rFonts w:ascii="Montserrat-Bold" w:hAnsi="Montserrat-Bold" w:cs="Montserrat-Bold"/>
                <w:b/>
                <w:bCs/>
                <w:color w:val="000000"/>
                <w:sz w:val="20"/>
                <w:szCs w:val="20"/>
              </w:rPr>
              <w:t>y Marco de Acción ODS 4–Educación 2030</w:t>
            </w:r>
          </w:p>
          <w:p w14:paraId="19E0E6A1" w14:textId="77777777" w:rsidR="005034BA" w:rsidRDefault="005034BA" w:rsidP="00AD5C33">
            <w:pPr>
              <w:autoSpaceDE w:val="0"/>
              <w:autoSpaceDN w:val="0"/>
              <w:adjustRightInd w:val="0"/>
              <w:jc w:val="both"/>
              <w:rPr>
                <w:rFonts w:ascii="Montserrat-Bold" w:hAnsi="Montserrat-Bold" w:cs="Montserrat-Bold"/>
                <w:b/>
                <w:bCs/>
                <w:color w:val="000000"/>
                <w:sz w:val="20"/>
                <w:szCs w:val="20"/>
              </w:rPr>
            </w:pPr>
          </w:p>
        </w:tc>
      </w:tr>
      <w:tr w:rsidR="005034BA" w14:paraId="34A3A55D" w14:textId="77777777" w:rsidTr="005034BA">
        <w:tc>
          <w:tcPr>
            <w:tcW w:w="13887" w:type="dxa"/>
          </w:tcPr>
          <w:p w14:paraId="671891F1" w14:textId="2681FC76" w:rsidR="005034BA" w:rsidRDefault="005034BA" w:rsidP="00AD5C33">
            <w:pPr>
              <w:autoSpaceDE w:val="0"/>
              <w:autoSpaceDN w:val="0"/>
              <w:adjustRightInd w:val="0"/>
              <w:jc w:val="both"/>
              <w:rPr>
                <w:rFonts w:ascii="Montserrat-Bold" w:hAnsi="Montserrat-Bold" w:cs="Montserrat-Bold"/>
                <w:b/>
                <w:bCs/>
                <w:color w:val="000000"/>
                <w:sz w:val="20"/>
                <w:szCs w:val="20"/>
              </w:rPr>
            </w:pPr>
            <w:r w:rsidRPr="00362F32">
              <w:rPr>
                <w:rFonts w:ascii="Montserrat-Bold" w:hAnsi="Montserrat-Bold" w:cs="Montserrat-Bold"/>
                <w:b/>
                <w:bCs/>
                <w:color w:val="000000"/>
                <w:sz w:val="20"/>
                <w:szCs w:val="20"/>
              </w:rPr>
              <w:t>4.1</w:t>
            </w:r>
            <w:r>
              <w:rPr>
                <w:rFonts w:ascii="Montserrat-Bold" w:hAnsi="Montserrat-Bold" w:cs="Montserrat-Bold"/>
                <w:b/>
                <w:bCs/>
                <w:color w:val="000000"/>
                <w:sz w:val="20"/>
                <w:szCs w:val="20"/>
              </w:rPr>
              <w:t>.</w:t>
            </w:r>
            <w:r w:rsidR="00CC15BC">
              <w:rPr>
                <w:rFonts w:ascii="Montserrat-Bold" w:hAnsi="Montserrat-Bold" w:cs="Montserrat-Bold"/>
                <w:b/>
                <w:bCs/>
                <w:color w:val="000000"/>
                <w:sz w:val="20"/>
                <w:szCs w:val="20"/>
              </w:rPr>
              <w:t xml:space="preserve"> </w:t>
            </w:r>
            <w:r w:rsidR="000C004D" w:rsidRPr="000C004D">
              <w:rPr>
                <w:rFonts w:ascii="Montserrat-Bold" w:hAnsi="Montserrat-Bold" w:cs="Montserrat-Bold"/>
                <w:bCs/>
                <w:color w:val="000000"/>
                <w:sz w:val="20"/>
                <w:szCs w:val="20"/>
              </w:rPr>
              <w:t>Las y los maestros, tienen la responsabilidad</w:t>
            </w:r>
            <w:r w:rsidR="000C004D">
              <w:rPr>
                <w:rFonts w:ascii="Montserrat-Bold" w:hAnsi="Montserrat-Bold" w:cs="Montserrat-Bold"/>
                <w:bCs/>
                <w:color w:val="000000"/>
                <w:sz w:val="20"/>
                <w:szCs w:val="20"/>
              </w:rPr>
              <w:t xml:space="preserve"> de apoyar y brindar ayuda a todos los alumnos, especialmente a los alumnos que cuentan con un rendimiento bajo en su educación; gracias a esto, los alumnos lograrán obtener una educación de calidad y completa, de esta forma podrán terminar sus estudios sin ningún problema.</w:t>
            </w:r>
          </w:p>
        </w:tc>
      </w:tr>
      <w:tr w:rsidR="005034BA" w14:paraId="2EDDD3F8" w14:textId="77777777" w:rsidTr="005034BA">
        <w:tc>
          <w:tcPr>
            <w:tcW w:w="13887" w:type="dxa"/>
          </w:tcPr>
          <w:p w14:paraId="050BC053" w14:textId="4DEC0C5D" w:rsidR="005034BA" w:rsidRDefault="005034BA" w:rsidP="00AD5C33">
            <w:pPr>
              <w:autoSpaceDE w:val="0"/>
              <w:autoSpaceDN w:val="0"/>
              <w:adjustRightInd w:val="0"/>
              <w:jc w:val="both"/>
              <w:rPr>
                <w:rFonts w:ascii="Montserrat-Bold" w:hAnsi="Montserrat-Bold" w:cs="Montserrat-Bold"/>
                <w:b/>
                <w:bCs/>
                <w:color w:val="000000"/>
                <w:sz w:val="20"/>
                <w:szCs w:val="20"/>
              </w:rPr>
            </w:pPr>
            <w:r>
              <w:rPr>
                <w:rFonts w:ascii="Montserrat-Bold" w:hAnsi="Montserrat-Bold" w:cs="Montserrat-Bold"/>
                <w:b/>
                <w:bCs/>
                <w:color w:val="000000"/>
                <w:sz w:val="20"/>
                <w:szCs w:val="20"/>
              </w:rPr>
              <w:t>4.2.</w:t>
            </w:r>
            <w:r w:rsidR="000C004D">
              <w:rPr>
                <w:rFonts w:ascii="Montserrat-Bold" w:hAnsi="Montserrat-Bold" w:cs="Montserrat-Bold"/>
                <w:b/>
                <w:bCs/>
                <w:color w:val="000000"/>
                <w:sz w:val="20"/>
                <w:szCs w:val="20"/>
              </w:rPr>
              <w:t xml:space="preserve"> </w:t>
            </w:r>
            <w:r w:rsidR="00FA5957" w:rsidRPr="00FA5957">
              <w:rPr>
                <w:rFonts w:ascii="Montserrat-Bold" w:hAnsi="Montserrat-Bold" w:cs="Montserrat-Bold"/>
                <w:bCs/>
                <w:color w:val="000000"/>
                <w:sz w:val="20"/>
                <w:szCs w:val="20"/>
              </w:rPr>
              <w:t>Dentro de</w:t>
            </w:r>
            <w:r w:rsidR="008966D3">
              <w:rPr>
                <w:rFonts w:ascii="Montserrat-Bold" w:hAnsi="Montserrat-Bold" w:cs="Montserrat-Bold"/>
                <w:bCs/>
                <w:color w:val="000000"/>
                <w:sz w:val="20"/>
                <w:szCs w:val="20"/>
              </w:rPr>
              <w:t xml:space="preserve"> este objetivo</w:t>
            </w:r>
            <w:r w:rsidR="00FA5957" w:rsidRPr="00FA5957">
              <w:rPr>
                <w:rFonts w:ascii="Montserrat-Bold" w:hAnsi="Montserrat-Bold" w:cs="Montserrat-Bold"/>
                <w:bCs/>
                <w:color w:val="000000"/>
                <w:sz w:val="20"/>
                <w:szCs w:val="20"/>
              </w:rPr>
              <w:t>, los maestros cuentan con la responsabilidad de hacerles conocer a los padres de familia</w:t>
            </w:r>
            <w:r w:rsidR="00FA5957">
              <w:rPr>
                <w:rFonts w:ascii="Montserrat-Bold" w:hAnsi="Montserrat-Bold" w:cs="Montserrat-Bold"/>
                <w:bCs/>
                <w:color w:val="000000"/>
                <w:sz w:val="20"/>
                <w:szCs w:val="20"/>
              </w:rPr>
              <w:t xml:space="preserve"> y a la sociedad,</w:t>
            </w:r>
            <w:r w:rsidR="00FA5957" w:rsidRPr="00FA5957">
              <w:rPr>
                <w:rFonts w:ascii="Montserrat-Bold" w:hAnsi="Montserrat-Bold" w:cs="Montserrat-Bold"/>
                <w:bCs/>
                <w:color w:val="000000"/>
                <w:sz w:val="20"/>
                <w:szCs w:val="20"/>
              </w:rPr>
              <w:t xml:space="preserve"> la importancia que tiene la educación a nivel preescolar, para que en un futuro sus hijos entren en la primaria  con aprendizajes y conocimientos previos, de esta forma podrán reforzar lo que ya conocen.</w:t>
            </w:r>
            <w:r w:rsidR="00FA5957">
              <w:rPr>
                <w:rFonts w:ascii="Montserrat-Bold" w:hAnsi="Montserrat-Bold" w:cs="Montserrat-Bold"/>
                <w:b/>
                <w:bCs/>
                <w:color w:val="000000"/>
                <w:sz w:val="20"/>
                <w:szCs w:val="20"/>
              </w:rPr>
              <w:t xml:space="preserve"> </w:t>
            </w:r>
          </w:p>
        </w:tc>
      </w:tr>
      <w:tr w:rsidR="005034BA" w14:paraId="65BCB022" w14:textId="77777777" w:rsidTr="005034BA">
        <w:tc>
          <w:tcPr>
            <w:tcW w:w="13887" w:type="dxa"/>
          </w:tcPr>
          <w:p w14:paraId="0F19A431" w14:textId="61368E63" w:rsidR="005034BA" w:rsidRPr="00B1304F" w:rsidRDefault="005034BA" w:rsidP="00CE576F">
            <w:pPr>
              <w:autoSpaceDE w:val="0"/>
              <w:autoSpaceDN w:val="0"/>
              <w:adjustRightInd w:val="0"/>
              <w:jc w:val="both"/>
              <w:rPr>
                <w:rFonts w:ascii="Montserrat-Bold" w:hAnsi="Montserrat-Bold" w:cs="Montserrat-Bold"/>
                <w:bCs/>
                <w:color w:val="000000"/>
                <w:sz w:val="20"/>
                <w:szCs w:val="20"/>
              </w:rPr>
            </w:pPr>
            <w:r>
              <w:rPr>
                <w:rFonts w:ascii="Montserrat-Bold" w:hAnsi="Montserrat-Bold" w:cs="Montserrat-Bold"/>
                <w:b/>
                <w:bCs/>
                <w:color w:val="000000"/>
                <w:sz w:val="20"/>
                <w:szCs w:val="20"/>
              </w:rPr>
              <w:lastRenderedPageBreak/>
              <w:t>4.5</w:t>
            </w:r>
            <w:r w:rsidR="008966D3">
              <w:rPr>
                <w:rFonts w:ascii="Montserrat-Bold" w:hAnsi="Montserrat-Bold" w:cs="Montserrat-Bold"/>
                <w:b/>
                <w:bCs/>
                <w:color w:val="000000"/>
                <w:sz w:val="20"/>
                <w:szCs w:val="20"/>
              </w:rPr>
              <w:t xml:space="preserve">. </w:t>
            </w:r>
            <w:r w:rsidR="008966D3" w:rsidRPr="008966D3">
              <w:rPr>
                <w:rFonts w:ascii="Montserrat-Bold" w:hAnsi="Montserrat-Bold" w:cs="Montserrat-Bold"/>
                <w:bCs/>
                <w:color w:val="000000"/>
                <w:sz w:val="20"/>
                <w:szCs w:val="20"/>
              </w:rPr>
              <w:t>Las y los maestros cuentan con la responsabilidad</w:t>
            </w:r>
            <w:r w:rsidR="008966D3">
              <w:rPr>
                <w:rFonts w:ascii="Montserrat-Bold" w:hAnsi="Montserrat-Bold" w:cs="Montserrat-Bold"/>
                <w:b/>
                <w:bCs/>
                <w:color w:val="000000"/>
                <w:sz w:val="20"/>
                <w:szCs w:val="20"/>
              </w:rPr>
              <w:t xml:space="preserve"> </w:t>
            </w:r>
            <w:r w:rsidR="008966D3" w:rsidRPr="008966D3">
              <w:rPr>
                <w:rFonts w:ascii="Montserrat-Bold" w:hAnsi="Montserrat-Bold" w:cs="Montserrat-Bold"/>
                <w:bCs/>
                <w:color w:val="000000"/>
                <w:sz w:val="20"/>
                <w:szCs w:val="20"/>
              </w:rPr>
              <w:t>de orientar e informar a los alumnos acerca de las discapacidades, de esta forma podrá fomentar la igualdad entre ellos, así como también el respeto mutuo y la armonía, dentro y fuera del aula.</w:t>
            </w:r>
          </w:p>
        </w:tc>
      </w:tr>
      <w:tr w:rsidR="005034BA" w14:paraId="1D611806" w14:textId="77777777" w:rsidTr="005034BA">
        <w:tc>
          <w:tcPr>
            <w:tcW w:w="13887" w:type="dxa"/>
          </w:tcPr>
          <w:p w14:paraId="12BDFB5F" w14:textId="05015E62" w:rsidR="005034BA" w:rsidRDefault="005034BA" w:rsidP="00AD5C33">
            <w:pPr>
              <w:autoSpaceDE w:val="0"/>
              <w:autoSpaceDN w:val="0"/>
              <w:adjustRightInd w:val="0"/>
              <w:jc w:val="both"/>
              <w:rPr>
                <w:rFonts w:ascii="Montserrat-Bold" w:hAnsi="Montserrat-Bold" w:cs="Montserrat-Bold"/>
                <w:b/>
                <w:bCs/>
                <w:color w:val="000000"/>
                <w:sz w:val="20"/>
                <w:szCs w:val="20"/>
              </w:rPr>
            </w:pPr>
            <w:r>
              <w:rPr>
                <w:rFonts w:ascii="Montserrat-Bold" w:hAnsi="Montserrat-Bold" w:cs="Montserrat-Bold"/>
                <w:b/>
                <w:bCs/>
                <w:color w:val="000000"/>
                <w:sz w:val="20"/>
                <w:szCs w:val="20"/>
              </w:rPr>
              <w:t>4.7</w:t>
            </w:r>
            <w:r w:rsidR="008966D3">
              <w:rPr>
                <w:rFonts w:ascii="Montserrat-Bold" w:hAnsi="Montserrat-Bold" w:cs="Montserrat-Bold"/>
                <w:b/>
                <w:bCs/>
                <w:color w:val="000000"/>
                <w:sz w:val="20"/>
                <w:szCs w:val="20"/>
              </w:rPr>
              <w:t xml:space="preserve">. </w:t>
            </w:r>
            <w:r w:rsidR="008966D3" w:rsidRPr="008966D3">
              <w:rPr>
                <w:rFonts w:ascii="Montserrat-Bold" w:hAnsi="Montserrat-Bold" w:cs="Montserrat-Bold"/>
                <w:bCs/>
                <w:color w:val="000000"/>
                <w:sz w:val="20"/>
                <w:szCs w:val="20"/>
              </w:rPr>
              <w:t>Dentro de este apartado, los docentes tienen la tarea de enseñar a los alumnos acerca de la sociedad y los valores que se ejercen por medio de diversos aprendizajes, esto con la finalidad de que los alumno se equipen de herramientas necesarias que les puedan permitir ser individuos independientes, autónomos y funcionales dentro de la sociedad, y logren adoptar un estilo de vida sostenible.</w:t>
            </w:r>
          </w:p>
        </w:tc>
      </w:tr>
      <w:tr w:rsidR="005034BA" w14:paraId="1B2532B0" w14:textId="77777777" w:rsidTr="008966D3">
        <w:trPr>
          <w:trHeight w:val="395"/>
        </w:trPr>
        <w:tc>
          <w:tcPr>
            <w:tcW w:w="13887" w:type="dxa"/>
          </w:tcPr>
          <w:p w14:paraId="28481EE9" w14:textId="796E2015" w:rsidR="005034BA" w:rsidRPr="008966D3" w:rsidRDefault="008966D3" w:rsidP="00AD5C33">
            <w:pPr>
              <w:autoSpaceDE w:val="0"/>
              <w:autoSpaceDN w:val="0"/>
              <w:adjustRightInd w:val="0"/>
              <w:jc w:val="both"/>
              <w:rPr>
                <w:rFonts w:ascii="Montserrat-Bold" w:hAnsi="Montserrat-Bold" w:cs="Montserrat-Bold"/>
                <w:bCs/>
                <w:color w:val="000000"/>
                <w:sz w:val="20"/>
                <w:szCs w:val="20"/>
              </w:rPr>
            </w:pPr>
            <w:r>
              <w:rPr>
                <w:rFonts w:ascii="Montserrat-Bold" w:hAnsi="Montserrat-Bold" w:cs="Montserrat-Bold"/>
                <w:b/>
                <w:bCs/>
                <w:color w:val="000000"/>
                <w:sz w:val="20"/>
                <w:szCs w:val="20"/>
              </w:rPr>
              <w:t xml:space="preserve">4. c. </w:t>
            </w:r>
            <w:r w:rsidRPr="008966D3">
              <w:rPr>
                <w:rFonts w:ascii="Montserrat-Bold" w:hAnsi="Montserrat-Bold" w:cs="Montserrat-Bold"/>
                <w:bCs/>
                <w:color w:val="000000"/>
                <w:sz w:val="20"/>
                <w:szCs w:val="20"/>
              </w:rPr>
              <w:t xml:space="preserve">Dentro de este punto, los maestros tienen la responsabilidad de prepararse y seguir en constante preparamiento, para que puedan brindarle a sus alumnos una educación completa y de calidad. </w:t>
            </w:r>
          </w:p>
          <w:p w14:paraId="30E34D9C" w14:textId="45DD0838" w:rsidR="008966D3" w:rsidRDefault="008966D3" w:rsidP="00AD5C33">
            <w:pPr>
              <w:autoSpaceDE w:val="0"/>
              <w:autoSpaceDN w:val="0"/>
              <w:adjustRightInd w:val="0"/>
              <w:jc w:val="both"/>
              <w:rPr>
                <w:rFonts w:ascii="Montserrat-Bold" w:hAnsi="Montserrat-Bold" w:cs="Montserrat-Bold"/>
                <w:b/>
                <w:bCs/>
                <w:color w:val="000000"/>
                <w:sz w:val="20"/>
                <w:szCs w:val="20"/>
              </w:rPr>
            </w:pPr>
            <w:r w:rsidRPr="008966D3">
              <w:rPr>
                <w:rFonts w:ascii="Montserrat-Bold" w:hAnsi="Montserrat-Bold" w:cs="Montserrat-Bold"/>
                <w:bCs/>
                <w:color w:val="000000"/>
                <w:sz w:val="20"/>
                <w:szCs w:val="20"/>
              </w:rPr>
              <w:t>Es necesario que los docentes cuenten con los aprendizajes y saberes necesarios que les permitan formar individuos pensantes y funcionales para la sociedad.</w:t>
            </w:r>
            <w:r>
              <w:rPr>
                <w:rFonts w:ascii="Montserrat-Bold" w:hAnsi="Montserrat-Bold" w:cs="Montserrat-Bold"/>
                <w:b/>
                <w:bCs/>
                <w:color w:val="000000"/>
                <w:sz w:val="20"/>
                <w:szCs w:val="20"/>
              </w:rPr>
              <w:t xml:space="preserve"> </w:t>
            </w:r>
          </w:p>
        </w:tc>
      </w:tr>
    </w:tbl>
    <w:p w14:paraId="7D165BAE" w14:textId="77777777" w:rsidR="005034BA" w:rsidRDefault="005034BA" w:rsidP="005034BA">
      <w:pPr>
        <w:autoSpaceDE w:val="0"/>
        <w:autoSpaceDN w:val="0"/>
        <w:adjustRightInd w:val="0"/>
        <w:jc w:val="both"/>
        <w:rPr>
          <w:rFonts w:ascii="Montserrat-Bold" w:hAnsi="Montserrat-Bold" w:cs="Montserrat-Bold"/>
          <w:b/>
          <w:bCs/>
          <w:color w:val="231F20"/>
          <w:sz w:val="20"/>
          <w:szCs w:val="20"/>
        </w:rPr>
      </w:pPr>
    </w:p>
    <w:p w14:paraId="5DC828EE" w14:textId="77777777" w:rsidR="005034BA" w:rsidRDefault="005034BA" w:rsidP="005034BA">
      <w:pPr>
        <w:autoSpaceDE w:val="0"/>
        <w:autoSpaceDN w:val="0"/>
        <w:adjustRightInd w:val="0"/>
        <w:jc w:val="both"/>
        <w:rPr>
          <w:rFonts w:ascii="Montserrat-Bold" w:hAnsi="Montserrat-Bold" w:cs="Montserrat-Bold"/>
          <w:b/>
          <w:bCs/>
          <w:color w:val="231F20"/>
          <w:sz w:val="20"/>
          <w:szCs w:val="20"/>
        </w:rPr>
      </w:pPr>
    </w:p>
    <w:p w14:paraId="62D72314" w14:textId="77777777" w:rsidR="005034BA" w:rsidRDefault="005034BA" w:rsidP="005034BA">
      <w:pPr>
        <w:autoSpaceDE w:val="0"/>
        <w:autoSpaceDN w:val="0"/>
        <w:adjustRightInd w:val="0"/>
        <w:jc w:val="both"/>
        <w:rPr>
          <w:rFonts w:ascii="Montserrat-Bold" w:hAnsi="Montserrat-Bold" w:cs="Montserrat-Bold"/>
          <w:b/>
          <w:bCs/>
          <w:color w:val="231F20"/>
          <w:sz w:val="20"/>
          <w:szCs w:val="20"/>
        </w:rPr>
      </w:pPr>
    </w:p>
    <w:p w14:paraId="3C940DD5" w14:textId="77777777" w:rsidR="005034BA" w:rsidRPr="00E91B19" w:rsidRDefault="005034BA" w:rsidP="005034BA">
      <w:pPr>
        <w:pStyle w:val="Prrafodelista"/>
        <w:tabs>
          <w:tab w:val="right" w:leader="underscore" w:pos="8505"/>
          <w:tab w:val="left" w:pos="8647"/>
          <w:tab w:val="right" w:leader="underscore" w:pos="10065"/>
          <w:tab w:val="left" w:pos="10206"/>
          <w:tab w:val="right" w:leader="underscore" w:pos="13962"/>
        </w:tabs>
        <w:rPr>
          <w:b/>
          <w:szCs w:val="20"/>
        </w:rPr>
      </w:pPr>
    </w:p>
    <w:p w14:paraId="0F3247C2" w14:textId="3DFF3853" w:rsidR="00E91B19" w:rsidRPr="005034BA" w:rsidRDefault="005034BA" w:rsidP="00E91B19">
      <w:pPr>
        <w:pStyle w:val="Prrafodelista"/>
        <w:tabs>
          <w:tab w:val="right" w:leader="underscore" w:pos="8505"/>
          <w:tab w:val="left" w:pos="8647"/>
          <w:tab w:val="right" w:leader="underscore" w:pos="10065"/>
          <w:tab w:val="left" w:pos="10206"/>
          <w:tab w:val="right" w:leader="underscore" w:pos="13962"/>
        </w:tabs>
        <w:rPr>
          <w:b/>
          <w:szCs w:val="20"/>
        </w:rPr>
      </w:pPr>
      <w:r w:rsidRPr="005034BA">
        <w:rPr>
          <w:b/>
          <w:szCs w:val="20"/>
        </w:rPr>
        <w:t>Rubrica.</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410D6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5034BA">
        <w:trPr>
          <w:trHeight w:val="825"/>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5034BA" w:rsidRPr="00F50B04" w14:paraId="658D6E69" w14:textId="77777777" w:rsidTr="00972888">
        <w:trPr>
          <w:trHeight w:val="345"/>
        </w:trPr>
        <w:tc>
          <w:tcPr>
            <w:tcW w:w="1825" w:type="dxa"/>
            <w:shd w:val="clear" w:color="auto" w:fill="auto"/>
            <w:vAlign w:val="center"/>
          </w:tcPr>
          <w:p w14:paraId="201862EC" w14:textId="74F47433" w:rsidR="005034BA" w:rsidRPr="005034BA" w:rsidRDefault="005034BA" w:rsidP="007A1F24">
            <w:pPr>
              <w:tabs>
                <w:tab w:val="right" w:leader="underscore" w:pos="8505"/>
                <w:tab w:val="left" w:pos="8647"/>
                <w:tab w:val="right" w:leader="underscore" w:pos="10065"/>
                <w:tab w:val="left" w:pos="10206"/>
                <w:tab w:val="right" w:leader="underscore" w:pos="13962"/>
              </w:tabs>
              <w:rPr>
                <w:b/>
                <w:sz w:val="18"/>
                <w:szCs w:val="18"/>
              </w:rPr>
            </w:pPr>
            <w:r w:rsidRPr="005034BA">
              <w:rPr>
                <w:rFonts w:eastAsiaTheme="minorHAnsi"/>
                <w:b/>
                <w:bCs/>
                <w:sz w:val="18"/>
                <w:szCs w:val="18"/>
                <w:lang w:val="es-MX" w:eastAsia="en-US"/>
              </w:rPr>
              <w:lastRenderedPageBreak/>
              <w:t>REPUESTA A LA PREGUNTA.</w:t>
            </w:r>
          </w:p>
        </w:tc>
        <w:tc>
          <w:tcPr>
            <w:tcW w:w="2276" w:type="dxa"/>
            <w:shd w:val="clear" w:color="auto" w:fill="auto"/>
          </w:tcPr>
          <w:p w14:paraId="6297C2BC" w14:textId="47FC7F2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Se observa una postura clara y fundamentada. LA repuesta se encuentra justificada atendiendo a bibliografía referenciada.</w:t>
            </w:r>
          </w:p>
        </w:tc>
        <w:tc>
          <w:tcPr>
            <w:tcW w:w="252" w:type="dxa"/>
            <w:shd w:val="clear" w:color="auto" w:fill="auto"/>
          </w:tcPr>
          <w:p w14:paraId="73169FAE"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5F8B9F1" w14:textId="5CEB3234"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Se observa una postura clara en la repuesta pero las opiniones no están apoyada en documentos referenciados.</w:t>
            </w:r>
          </w:p>
        </w:tc>
        <w:tc>
          <w:tcPr>
            <w:tcW w:w="252" w:type="dxa"/>
            <w:shd w:val="clear" w:color="auto" w:fill="auto"/>
          </w:tcPr>
          <w:p w14:paraId="72022365"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714D985" w14:textId="1D9F2992"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No se observa una postura clara en la repuesta pero las opiniones están apoyadas en documentos referenciados.</w:t>
            </w:r>
          </w:p>
        </w:tc>
        <w:tc>
          <w:tcPr>
            <w:tcW w:w="259" w:type="dxa"/>
            <w:shd w:val="clear" w:color="auto" w:fill="auto"/>
          </w:tcPr>
          <w:p w14:paraId="55E998A9"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D9260F6" w14:textId="17327098"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La respuesta no está fundamentada. Justificación insuficiente.</w:t>
            </w:r>
          </w:p>
        </w:tc>
        <w:tc>
          <w:tcPr>
            <w:tcW w:w="252" w:type="dxa"/>
            <w:shd w:val="clear" w:color="auto" w:fill="auto"/>
          </w:tcPr>
          <w:p w14:paraId="739EA7D6" w14:textId="77777777"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899C14B" w14:textId="7DB4349D" w:rsidR="005034BA" w:rsidRPr="005034BA" w:rsidRDefault="005034BA" w:rsidP="007A1F24">
            <w:pPr>
              <w:tabs>
                <w:tab w:val="right" w:leader="underscore" w:pos="8505"/>
                <w:tab w:val="left" w:pos="8647"/>
                <w:tab w:val="right" w:leader="underscore" w:pos="10065"/>
                <w:tab w:val="left" w:pos="10206"/>
                <w:tab w:val="right" w:leader="underscore" w:pos="13962"/>
              </w:tabs>
              <w:spacing w:before="40"/>
              <w:rPr>
                <w:sz w:val="18"/>
                <w:szCs w:val="18"/>
              </w:rPr>
            </w:pPr>
            <w:r w:rsidRPr="005034BA">
              <w:rPr>
                <w:rFonts w:eastAsiaTheme="minorHAnsi"/>
                <w:sz w:val="18"/>
                <w:szCs w:val="18"/>
                <w:lang w:val="es-MX" w:eastAsia="en-US"/>
              </w:rPr>
              <w:t>No existe postura, reflexión.</w:t>
            </w:r>
          </w:p>
        </w:tc>
        <w:tc>
          <w:tcPr>
            <w:tcW w:w="283" w:type="dxa"/>
            <w:shd w:val="clear" w:color="auto" w:fill="auto"/>
          </w:tcPr>
          <w:p w14:paraId="2D991A29" w14:textId="77777777" w:rsidR="005034BA" w:rsidRPr="002D387E" w:rsidRDefault="005034BA"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69B51FEA" w14:textId="687C88C3" w:rsidR="008A44E3" w:rsidRDefault="008A44E3" w:rsidP="00677DE9"/>
    <w:sectPr w:rsidR="008A44E3" w:rsidSect="00DF3BA4">
      <w:pgSz w:w="15840" w:h="12240" w:orient="landscape"/>
      <w:pgMar w:top="992" w:right="1418"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B0082"/>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E9"/>
    <w:rsid w:val="000C004D"/>
    <w:rsid w:val="003F0AFF"/>
    <w:rsid w:val="005034BA"/>
    <w:rsid w:val="00677DE9"/>
    <w:rsid w:val="007704D8"/>
    <w:rsid w:val="007A1F24"/>
    <w:rsid w:val="007D4B83"/>
    <w:rsid w:val="008966D3"/>
    <w:rsid w:val="008A44E3"/>
    <w:rsid w:val="00972888"/>
    <w:rsid w:val="00A6500F"/>
    <w:rsid w:val="00B1304F"/>
    <w:rsid w:val="00B66BBF"/>
    <w:rsid w:val="00C056CD"/>
    <w:rsid w:val="00CC15BC"/>
    <w:rsid w:val="00CE576F"/>
    <w:rsid w:val="00DF3BA4"/>
    <w:rsid w:val="00E65D43"/>
    <w:rsid w:val="00E91B19"/>
    <w:rsid w:val="00FA5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table" w:styleId="Tablaconcuadrcula">
    <w:name w:val="Table Grid"/>
    <w:basedOn w:val="Tablanormal"/>
    <w:uiPriority w:val="39"/>
    <w:rsid w:val="00503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034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esdoc.unesco.org/ark:/48223/pf0000245656_sp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6400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Usuario de Windows</cp:lastModifiedBy>
  <cp:revision>2</cp:revision>
  <dcterms:created xsi:type="dcterms:W3CDTF">2021-05-30T23:34:00Z</dcterms:created>
  <dcterms:modified xsi:type="dcterms:W3CDTF">2021-05-30T23:34:00Z</dcterms:modified>
</cp:coreProperties>
</file>