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C375844" wp14:editId="724233FE">
            <wp:simplePos x="0" y="0"/>
            <wp:positionH relativeFrom="margin">
              <wp:align>center</wp:align>
            </wp:positionH>
            <wp:positionV relativeFrom="paragraph">
              <wp:posOffset>383540</wp:posOffset>
            </wp:positionV>
            <wp:extent cx="1741805" cy="1295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24C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Ciclo escolar 2020-2021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 xml:space="preserve">Bases legales y normativas de la educación básica 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 xml:space="preserve">Arturo Flores Rodríguez 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Actividad 2.4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Unidad 2. Responsabilidades legales y éticos del quehacer profesional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 xml:space="preserve">Competencias: </w:t>
      </w:r>
    </w:p>
    <w:p w:rsidR="0019324C" w:rsidRPr="0019324C" w:rsidRDefault="0019324C" w:rsidP="0019324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9324C" w:rsidRPr="0019324C" w:rsidRDefault="0019324C" w:rsidP="0019324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Maria Jose Palacios López #13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Sexto semestre 3° “A”</w:t>
      </w: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24C" w:rsidRPr="0019324C" w:rsidRDefault="0019324C" w:rsidP="0019324C">
      <w:pPr>
        <w:rPr>
          <w:rFonts w:ascii="Times New Roman" w:hAnsi="Times New Roman" w:cs="Times New Roman"/>
          <w:sz w:val="24"/>
          <w:szCs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 xml:space="preserve">Saltillo Coahuila </w:t>
      </w:r>
    </w:p>
    <w:p w:rsidR="0019324C" w:rsidRDefault="0019324C" w:rsidP="0019324C">
      <w:pPr>
        <w:rPr>
          <w:rFonts w:ascii="Times New Roman" w:hAnsi="Times New Roman" w:cs="Times New Roman"/>
          <w:sz w:val="24"/>
        </w:rPr>
      </w:pPr>
      <w:r w:rsidRPr="0019324C">
        <w:rPr>
          <w:rFonts w:ascii="Times New Roman" w:hAnsi="Times New Roman" w:cs="Times New Roman"/>
          <w:sz w:val="24"/>
          <w:szCs w:val="24"/>
        </w:rPr>
        <w:t>Mayo 2021</w:t>
      </w:r>
    </w:p>
    <w:tbl>
      <w:tblPr>
        <w:tblStyle w:val="Tablaconcuadrcula"/>
        <w:tblpPr w:leftFromText="141" w:rightFromText="141" w:vertAnchor="page" w:horzAnchor="margin" w:tblpXSpec="center" w:tblpY="3001"/>
        <w:tblW w:w="11019" w:type="dxa"/>
        <w:tblLook w:val="04A0" w:firstRow="1" w:lastRow="0" w:firstColumn="1" w:lastColumn="0" w:noHBand="0" w:noVBand="1"/>
      </w:tblPr>
      <w:tblGrid>
        <w:gridCol w:w="3502"/>
        <w:gridCol w:w="7517"/>
      </w:tblGrid>
      <w:tr w:rsidR="005E43A7" w:rsidRPr="005E43A7" w:rsidTr="005E43A7">
        <w:trPr>
          <w:trHeight w:val="289"/>
        </w:trPr>
        <w:tc>
          <w:tcPr>
            <w:tcW w:w="3502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lastRenderedPageBreak/>
              <w:t>Desafíos de la nueva escuela mexicana</w:t>
            </w:r>
          </w:p>
        </w:tc>
        <w:tc>
          <w:tcPr>
            <w:tcW w:w="7517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Tu explicación</w:t>
            </w:r>
          </w:p>
        </w:tc>
      </w:tr>
      <w:tr w:rsidR="005E43A7" w:rsidRPr="005E43A7" w:rsidTr="005E43A7">
        <w:trPr>
          <w:trHeight w:val="2068"/>
        </w:trPr>
        <w:tc>
          <w:tcPr>
            <w:tcW w:w="3502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es-ES_tradnl" w:eastAsia="es-ES"/>
              </w:rPr>
              <w:t xml:space="preserve">Desafío 1: </w:t>
            </w:r>
            <w:r w:rsidRPr="005E43A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7517" w:type="dxa"/>
          </w:tcPr>
          <w:p w:rsidR="005E43A7" w:rsidRPr="005E43A7" w:rsidRDefault="00C13E5C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C1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La igualdad en la educación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consiste en brindarle a todos los educandos las mismas oportunidades</w:t>
            </w:r>
            <w:r w:rsidR="006C5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r</w:t>
            </w:r>
            <w:r w:rsidR="006C5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aprender dejando de lado religión, estatus social, color de piel, etc. Para lograr una educación de calidad </w:t>
            </w:r>
            <w:r w:rsidR="00EE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se tiene</w:t>
            </w:r>
            <w:r w:rsidR="00325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n</w:t>
            </w:r>
            <w:r w:rsidR="00EE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que tomar en cuenta las necesidades e intereses d</w:t>
            </w:r>
            <w:r w:rsidR="006C5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e los alumnos y características</w:t>
            </w:r>
            <w:r w:rsidR="00EE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del contexto en que se encuentran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Pr="00C1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5E43A7" w:rsidRPr="005E43A7" w:rsidTr="005E43A7">
        <w:trPr>
          <w:trHeight w:val="1469"/>
        </w:trPr>
        <w:tc>
          <w:tcPr>
            <w:tcW w:w="3502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es-ES_tradnl" w:eastAsia="es-ES"/>
              </w:rPr>
              <w:t xml:space="preserve">Desafío 2: </w:t>
            </w:r>
            <w:r w:rsidRPr="005E43A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517" w:type="dxa"/>
          </w:tcPr>
          <w:p w:rsidR="005E43A7" w:rsidRPr="005E43A7" w:rsidRDefault="003252F6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325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La nueva escuela mexicana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>como principal espacio social tiene a su cargo la formación de ciudadanos críticos y participativos</w:t>
            </w:r>
            <w:r w:rsidR="00613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, debe atender y dar respuesta a las necesidades del lugar en que se encuentra y hacer posible la convivencia sana logrando crear un espacio de respeto e inclusión </w:t>
            </w:r>
          </w:p>
        </w:tc>
      </w:tr>
      <w:tr w:rsidR="005E43A7" w:rsidRPr="005E43A7" w:rsidTr="005E43A7">
        <w:trPr>
          <w:trHeight w:val="1469"/>
        </w:trPr>
        <w:tc>
          <w:tcPr>
            <w:tcW w:w="3502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ES_tradnl" w:eastAsia="es-ES"/>
              </w:rPr>
              <w:t xml:space="preserve">Desafío 3: </w:t>
            </w:r>
            <w:r w:rsidRPr="005E43A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s-ES_tradnl" w:eastAsia="es-ES"/>
              </w:rPr>
              <w:t>La NEM fomenta el amor a la Patria, el aprecio por su cultura, el conocimiento de su historia y el compromiso con los valores plasmados en la Constitución Política.</w:t>
            </w:r>
          </w:p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517" w:type="dxa"/>
          </w:tcPr>
          <w:p w:rsidR="005E43A7" w:rsidRPr="005E43A7" w:rsidRDefault="00E4193F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E41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_tradnl" w:eastAsia="es-ES"/>
              </w:rPr>
              <w:t xml:space="preserve">nueva escuela mexicana busca que los educandos se sientan orgullos de su cultura además de conocerlas y gestionar acciones para preservarlas al generar un sentido de identidad  </w:t>
            </w:r>
          </w:p>
        </w:tc>
      </w:tr>
    </w:tbl>
    <w:p w:rsidR="005E43A7" w:rsidRPr="005E43A7" w:rsidRDefault="005E43A7" w:rsidP="005E43A7">
      <w:pPr>
        <w:numPr>
          <w:ilvl w:val="0"/>
          <w:numId w:val="2"/>
        </w:numPr>
        <w:rPr>
          <w:rFonts w:ascii="Times New Roman" w:hAnsi="Times New Roman" w:cs="Times New Roman"/>
          <w:sz w:val="24"/>
          <w:lang w:val="es-ES_tradnl"/>
        </w:rPr>
      </w:pPr>
      <w:r w:rsidRPr="005E43A7">
        <w:rPr>
          <w:rFonts w:ascii="Times New Roman" w:hAnsi="Times New Roman" w:cs="Times New Roman"/>
          <w:sz w:val="24"/>
          <w:lang w:val="es-ES_tradnl"/>
        </w:rPr>
        <w:t>A partir de la lectura “Desafíos de la nueva escuela mexicana”, completa el cuadro, escribiendo cómo explicarías a otro colega, con tus propias palabras, cada uno de los desafíos ahí propuestos.</w:t>
      </w:r>
    </w:p>
    <w:p w:rsidR="005E43A7" w:rsidRDefault="005E43A7" w:rsidP="0019324C">
      <w:pPr>
        <w:jc w:val="center"/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Pr="005E43A7" w:rsidRDefault="005E43A7" w:rsidP="005E43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r w:rsidRPr="005E43A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lastRenderedPageBreak/>
        <w:t xml:space="preserve">Lee los numerales 4.1, 4.2, 4.5, 4.7 y 4.c del objetivo 4, Garantizar una educación inclusiva y equitativa de calidad y promover oportunidades de aprendizaje permanente para todos, de la </w:t>
      </w:r>
      <w:r w:rsidRPr="005E4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 xml:space="preserve">Declaración de </w:t>
      </w:r>
      <w:proofErr w:type="spellStart"/>
      <w:r w:rsidRPr="005E4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>Incheon</w:t>
      </w:r>
      <w:proofErr w:type="spellEnd"/>
      <w:r w:rsidRPr="005E4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 xml:space="preserve"> y Marco de Acción ODS 4–Educación 2030.</w:t>
      </w: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63C2"/>
          <w:sz w:val="24"/>
          <w:szCs w:val="24"/>
          <w:lang w:val="es-ES_tradnl" w:eastAsia="es-ES"/>
        </w:rPr>
      </w:pPr>
      <w:hyperlink r:id="rId6" w:history="1">
        <w:r w:rsidRPr="005E43A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"/>
          </w:rPr>
          <w:t>https://unesdoc.unesco.org/ark:/48223/pf0000245656_spa</w:t>
        </w:r>
      </w:hyperlink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563C2"/>
          <w:sz w:val="24"/>
          <w:szCs w:val="24"/>
          <w:lang w:val="es-ES_tradnl" w:eastAsia="es-ES"/>
        </w:rPr>
      </w:pP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r w:rsidRPr="005E43A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• ¿Cuáles consideras que son las responsabilidades de las maestras y los maestros en el trabajo del aula y la escuela en el cumplimiento de las metas de la Declaración de </w:t>
      </w:r>
      <w:proofErr w:type="spellStart"/>
      <w:r w:rsidRPr="005E43A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Incheon</w:t>
      </w:r>
      <w:proofErr w:type="spellEnd"/>
      <w:r w:rsidRPr="005E43A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 y Marco de Acción ODS 4–Educación 2030? Argumenta tus respuestas en la tabla</w:t>
      </w:r>
      <w:r w:rsidRPr="005E4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  <w:t>.</w:t>
      </w: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</w:p>
    <w:tbl>
      <w:tblPr>
        <w:tblStyle w:val="Tablaconcuadrcula"/>
        <w:tblpPr w:leftFromText="141" w:rightFromText="141" w:vertAnchor="page" w:horzAnchor="margin" w:tblpXSpec="center" w:tblpY="4516"/>
        <w:tblW w:w="11576" w:type="dxa"/>
        <w:tblLook w:val="04A0" w:firstRow="1" w:lastRow="0" w:firstColumn="1" w:lastColumn="0" w:noHBand="0" w:noVBand="1"/>
      </w:tblPr>
      <w:tblGrid>
        <w:gridCol w:w="11576"/>
      </w:tblGrid>
      <w:tr w:rsidR="005E43A7" w:rsidRPr="005E43A7" w:rsidTr="00986205">
        <w:trPr>
          <w:trHeight w:val="1124"/>
        </w:trPr>
        <w:tc>
          <w:tcPr>
            <w:tcW w:w="11576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Responsabilidades de las maestras y los maestros en el cumplimiento de las metas de la Declaración de </w:t>
            </w:r>
            <w:proofErr w:type="spellStart"/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Incheon</w:t>
            </w:r>
            <w:proofErr w:type="spellEnd"/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 y Marco de Acción ODS 4–Educación 2030</w:t>
            </w:r>
          </w:p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5E43A7" w:rsidRPr="005E43A7" w:rsidTr="005E43A7">
        <w:trPr>
          <w:trHeight w:val="717"/>
        </w:trPr>
        <w:tc>
          <w:tcPr>
            <w:tcW w:w="11576" w:type="dxa"/>
          </w:tcPr>
          <w:p w:rsidR="00986205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4.1.</w:t>
            </w:r>
            <w:r w:rsidR="0098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="00986205" w:rsidRPr="00986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es-ES"/>
              </w:rPr>
              <w:t>Asegurar que todos los alumnos niñas, niños y adolescentes culminen satisfactoriamente los ciclos escolares, la educación que reciban debe ser gratuita, de calidad, produciendo resultados y evidencias reales y oportunos</w:t>
            </w:r>
            <w:r w:rsidR="00986205" w:rsidRPr="0098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s-ES"/>
              </w:rPr>
              <w:t xml:space="preserve"> </w:t>
            </w:r>
          </w:p>
        </w:tc>
      </w:tr>
      <w:tr w:rsidR="005E43A7" w:rsidRPr="005E43A7" w:rsidTr="005E43A7">
        <w:trPr>
          <w:trHeight w:val="717"/>
        </w:trPr>
        <w:tc>
          <w:tcPr>
            <w:tcW w:w="11576" w:type="dxa"/>
          </w:tcPr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4.2</w:t>
            </w:r>
            <w:r w:rsidRPr="005E4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.</w:t>
            </w:r>
            <w:r w:rsidR="0040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</w:t>
            </w:r>
            <w:r w:rsidR="0051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vigilar </w:t>
            </w:r>
            <w:r w:rsidR="005164D7" w:rsidRPr="0040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que</w:t>
            </w:r>
            <w:r w:rsidR="0051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los educandos tengan acceso libre a los servicios de atención para un desarrollo armónico de todas sus habilidades en la primera infancia y a una educación preescolar de calidad con el propósito de prepáralos lo mejor posible para el siguiente paso que es la educación primaria </w:t>
            </w:r>
          </w:p>
        </w:tc>
      </w:tr>
      <w:tr w:rsidR="005E43A7" w:rsidRPr="005E43A7" w:rsidTr="005E43A7">
        <w:trPr>
          <w:trHeight w:val="717"/>
        </w:trPr>
        <w:tc>
          <w:tcPr>
            <w:tcW w:w="11576" w:type="dxa"/>
          </w:tcPr>
          <w:p w:rsidR="005E43A7" w:rsidRPr="005E43A7" w:rsidRDefault="005164D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4.5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Pr="00516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gestionar acciones para erradicar todo tipo de discriminación y/o </w:t>
            </w:r>
            <w:r w:rsidR="0034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violencia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en la educación </w:t>
            </w:r>
            <w:proofErr w:type="spellStart"/>
            <w:r w:rsidR="0034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aseguramdo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el trato digno e igualitario para todas las personas poniendo especial atención en las personas con discapacidad, indígenas y niños en condiciones de </w:t>
            </w:r>
            <w:r w:rsidR="0034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vulnerabilidad </w:t>
            </w:r>
          </w:p>
        </w:tc>
      </w:tr>
      <w:tr w:rsidR="005E43A7" w:rsidRPr="005E43A7" w:rsidTr="005E43A7">
        <w:trPr>
          <w:trHeight w:val="717"/>
        </w:trPr>
        <w:tc>
          <w:tcPr>
            <w:tcW w:w="11576" w:type="dxa"/>
          </w:tcPr>
          <w:p w:rsidR="00034E13" w:rsidRDefault="005E43A7" w:rsidP="00034E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4.7</w:t>
            </w:r>
            <w:r w:rsidR="0040782C" w:rsidRPr="0040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</w:t>
            </w:r>
            <w:r w:rsidR="0034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asegurar que todos los estudiantes adquieran los conocimientos necesarios para resolver los conflictos que se le</w:t>
            </w:r>
            <w:r w:rsidR="00034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presenten en su vida</w:t>
            </w:r>
            <w:r w:rsidR="00471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cotidiana, tomando en cuenta el</w:t>
            </w:r>
            <w:r w:rsidR="00034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contexto en que se desenvuelve al aprender acerca del desarrollo sostenible y </w:t>
            </w:r>
            <w:r w:rsidR="00471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al recibir </w:t>
            </w:r>
            <w:r w:rsidR="00034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una educación en valores </w:t>
            </w:r>
          </w:p>
          <w:p w:rsidR="005E43A7" w:rsidRPr="005E43A7" w:rsidRDefault="005E43A7" w:rsidP="00034E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5E43A7" w:rsidRPr="005E43A7" w:rsidTr="005E43A7">
        <w:trPr>
          <w:trHeight w:val="669"/>
        </w:trPr>
        <w:tc>
          <w:tcPr>
            <w:tcW w:w="11576" w:type="dxa"/>
          </w:tcPr>
          <w:p w:rsidR="00471B5B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  <w:r w:rsidRPr="005E4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>4.c</w:t>
            </w:r>
            <w:r w:rsidR="0040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 </w:t>
            </w:r>
            <w:r w:rsidR="004E0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  <w:t xml:space="preserve">brindarles a los maestros mejores oportunidades de trabajo además de constates actualizaciones mejorando así los procesos de enseñanza aprendizaje que se llevan a cabo en el aula atendiendo a las necesidades que se presentan en la comunidad </w:t>
            </w:r>
          </w:p>
          <w:p w:rsidR="005E43A7" w:rsidRPr="005E43A7" w:rsidRDefault="005E43A7" w:rsidP="005E4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s-ES_tradnl" w:eastAsia="es-ES"/>
              </w:rPr>
            </w:pPr>
          </w:p>
        </w:tc>
      </w:tr>
    </w:tbl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es-ES_tradnl" w:eastAsia="es-ES"/>
        </w:rPr>
      </w:pP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Montserrat-Bold" w:eastAsia="Times New Roman" w:hAnsi="Montserrat-Bold" w:cs="Montserrat-Bold"/>
          <w:b/>
          <w:bCs/>
          <w:color w:val="231F20"/>
          <w:sz w:val="20"/>
          <w:szCs w:val="20"/>
          <w:lang w:val="es-ES_tradnl" w:eastAsia="es-ES"/>
        </w:rPr>
      </w:pPr>
    </w:p>
    <w:p w:rsidR="005E43A7" w:rsidRPr="005E43A7" w:rsidRDefault="005E43A7" w:rsidP="005E43A7">
      <w:pPr>
        <w:autoSpaceDE w:val="0"/>
        <w:autoSpaceDN w:val="0"/>
        <w:adjustRightInd w:val="0"/>
        <w:spacing w:after="0" w:line="240" w:lineRule="auto"/>
        <w:jc w:val="both"/>
        <w:rPr>
          <w:rFonts w:ascii="Montserrat-Bold" w:eastAsia="Times New Roman" w:hAnsi="Montserrat-Bold" w:cs="Montserrat-Bold"/>
          <w:b/>
          <w:bCs/>
          <w:color w:val="231F20"/>
          <w:sz w:val="20"/>
          <w:szCs w:val="20"/>
          <w:lang w:val="es-ES_tradnl" w:eastAsia="es-ES"/>
        </w:rPr>
      </w:pPr>
    </w:p>
    <w:p w:rsidR="005E43A7" w:rsidRDefault="005E43A7" w:rsidP="005E43A7">
      <w:pPr>
        <w:ind w:firstLine="708"/>
        <w:rPr>
          <w:lang w:val="es-ES_tradnl"/>
        </w:rPr>
      </w:pPr>
    </w:p>
    <w:p w:rsidR="005E43A7" w:rsidRPr="005E43A7" w:rsidRDefault="005E43A7" w:rsidP="005E43A7">
      <w:pPr>
        <w:ind w:firstLine="708"/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4E001F" w:rsidRPr="00745686" w:rsidRDefault="004E001F" w:rsidP="005E43A7">
      <w:pPr>
        <w:rPr>
          <w:rFonts w:ascii="Times New Roman" w:hAnsi="Times New Roman" w:cs="Times New Roman"/>
          <w:sz w:val="24"/>
          <w:lang w:val="es-ES_tradnl"/>
        </w:rPr>
      </w:pPr>
      <w:r w:rsidRPr="00745686">
        <w:rPr>
          <w:rFonts w:ascii="Times New Roman" w:hAnsi="Times New Roman" w:cs="Times New Roman"/>
          <w:sz w:val="24"/>
          <w:lang w:val="es-ES_tradnl"/>
        </w:rPr>
        <w:t>Bibliografía</w:t>
      </w:r>
    </w:p>
    <w:p w:rsidR="004E001F" w:rsidRPr="00745686" w:rsidRDefault="004E001F" w:rsidP="004E001F">
      <w:pPr>
        <w:rPr>
          <w:rFonts w:ascii="Times New Roman" w:hAnsi="Times New Roman" w:cs="Times New Roman"/>
          <w:sz w:val="24"/>
          <w:lang w:val="es-ES_tradnl"/>
        </w:rPr>
      </w:pPr>
      <w:hyperlink r:id="rId7" w:history="1">
        <w:r w:rsidRPr="00745686">
          <w:rPr>
            <w:rStyle w:val="Hipervnculo"/>
            <w:rFonts w:ascii="Times New Roman" w:hAnsi="Times New Roman" w:cs="Times New Roman"/>
            <w:sz w:val="24"/>
            <w:lang w:val="es-ES_tradnl"/>
          </w:rPr>
          <w:t>https://unesdoc.unesco.org/ark:/48223/pf0000245656_spa</w:t>
        </w:r>
      </w:hyperlink>
    </w:p>
    <w:p w:rsidR="004E001F" w:rsidRPr="00745686" w:rsidRDefault="004E001F" w:rsidP="004E001F">
      <w:pPr>
        <w:rPr>
          <w:rFonts w:ascii="Times New Roman" w:hAnsi="Times New Roman" w:cs="Times New Roman"/>
          <w:sz w:val="24"/>
          <w:lang w:val="es-ES_tradnl"/>
        </w:rPr>
      </w:pPr>
      <w:hyperlink r:id="rId8" w:history="1">
        <w:r w:rsidRPr="00745686">
          <w:rPr>
            <w:rStyle w:val="Hipervnculo"/>
            <w:rFonts w:ascii="Times New Roman" w:hAnsi="Times New Roman" w:cs="Times New Roman"/>
            <w:sz w:val="24"/>
            <w:lang w:val="es-ES_tradnl"/>
          </w:rPr>
          <w:t>https://www.academia.edu/43051164/MIV_L4_Desafios_NEM</w:t>
        </w:r>
      </w:hyperlink>
    </w:p>
    <w:p w:rsidR="004E001F" w:rsidRPr="004E001F" w:rsidRDefault="004E001F" w:rsidP="004E001F">
      <w:pPr>
        <w:rPr>
          <w:lang w:val="es-ES_tradnl"/>
        </w:rPr>
      </w:pPr>
    </w:p>
    <w:p w:rsidR="005E43A7" w:rsidRPr="005E43A7" w:rsidRDefault="004E001F" w:rsidP="005E43A7">
      <w:pPr>
        <w:rPr>
          <w:lang w:val="es-ES_tradnl"/>
        </w:rPr>
      </w:pPr>
      <w:r>
        <w:rPr>
          <w:lang w:val="es-ES_tradnl"/>
        </w:rPr>
        <w:t xml:space="preserve"> </w:t>
      </w: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Default="005E43A7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tbl>
      <w:tblPr>
        <w:tblpPr w:leftFromText="141" w:rightFromText="141" w:vertAnchor="text" w:horzAnchor="margin" w:tblpXSpec="center" w:tblpY="-141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1"/>
        <w:gridCol w:w="1765"/>
        <w:gridCol w:w="193"/>
        <w:gridCol w:w="1770"/>
        <w:gridCol w:w="193"/>
        <w:gridCol w:w="1818"/>
        <w:gridCol w:w="198"/>
        <w:gridCol w:w="1788"/>
        <w:gridCol w:w="192"/>
        <w:gridCol w:w="1745"/>
        <w:gridCol w:w="215"/>
      </w:tblGrid>
      <w:tr w:rsidR="00FB3690" w:rsidRPr="00FB3690" w:rsidTr="00FB3690">
        <w:trPr>
          <w:trHeight w:hRule="exact" w:val="320"/>
        </w:trPr>
        <w:tc>
          <w:tcPr>
            <w:tcW w:w="15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bookmarkStart w:id="0" w:name="_GoBack" w:colFirst="0" w:colLast="6"/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10. EXCELENTE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9. MUY BIEN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8. BIEN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7. SATISFACTORIO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6. ESCASO</w:t>
            </w:r>
          </w:p>
        </w:tc>
      </w:tr>
      <w:tr w:rsidR="00FB3690" w:rsidRPr="00FB3690" w:rsidTr="00FB3690">
        <w:trPr>
          <w:trHeight w:val="936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b/>
                <w:lang w:val="es-ES_tradnl"/>
              </w:rPr>
              <w:t>APUNTES</w:t>
            </w: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Los apuntes están organizados con mucho cuidado.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Los apuntes están organizados con atención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Los apuntes están poco organizados deficientemente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Los apuntes no tienen organización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Carece de apuntes o son escasos.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3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EXPOSICIÓN DE LOS ASPECTOS IMPORTANTES</w:t>
            </w:r>
          </w:p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Contiene todos los aspectos importantes del tema o temas, expuestos de forma clara y ordenada.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Contiene un 80 % de los aspectos importantes del tema o temas, expuestos de forma clara y ordenada.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 xml:space="preserve">Contiene menos de un </w:t>
            </w:r>
            <w:r w:rsidRPr="00FB3690">
              <w:rPr>
                <w:lang w:val="es-ES_tradnl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1229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 xml:space="preserve">CANTIDAD </w:t>
            </w:r>
            <w:r w:rsidRPr="00FB3690">
              <w:rPr>
                <w:b/>
                <w:lang w:val="es-ES_tradnl"/>
              </w:rPr>
              <w:br/>
              <w:t>DE INFORMACIÓN</w:t>
            </w: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Tiene información de todos los temas y preguntas tratados.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Tiene información de todos los temas y de la mayoría de las preguntas tratadas.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Tiene información de casi todos los temas y preguntas tratados.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Tiene información de algunos de los temas y preguntas tratados.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No tiene información o esta es muy escasa.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1229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ORGANIZACIÓN</w:t>
            </w: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está muy bien organizada con párrafos bien redactados y con subtítulos.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está organizada con párrafos bien redactados.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está organizada, pero los párrafos no están bien redactados.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proporcionada no parece estar organizada.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carece de estructura de redacción.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1229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>IDEAS RELEVANTES</w:t>
            </w: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tiene las ideas principales y una o dos ideas secundarias.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tiene las ideas principales, pero no las secundarias.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tiene alguna de las ideas principales.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La información no tiene ideas principales.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931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lang w:val="es-ES_tradnl"/>
              </w:rPr>
              <w:t xml:space="preserve">GRAMÁTICA </w:t>
            </w:r>
            <w:r w:rsidRPr="00FB3690">
              <w:rPr>
                <w:b/>
                <w:lang w:val="es-ES_tradnl"/>
              </w:rPr>
              <w:br/>
              <w:t>Y ORTOGRAFÍA</w:t>
            </w:r>
          </w:p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No hay errores gramaticales, ortográficos o de puntuación.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Existen 1-2 errores gramaticales, ortográficos o de puntuación.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Existen 3-4 errores gramaticales, ortográficos o de puntuación.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Existen 5-6 errores gramaticales, ortográficos o de puntuación.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rPr>
                <w:lang w:val="es-ES_tradnl"/>
              </w:rPr>
              <w:t>Existen 7 o más errores gramaticales, ortográficos o de puntuación.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tr w:rsidR="00FB3690" w:rsidRPr="00FB3690" w:rsidTr="00FB3690">
        <w:trPr>
          <w:trHeight w:val="389"/>
        </w:trPr>
        <w:tc>
          <w:tcPr>
            <w:tcW w:w="1571" w:type="dxa"/>
            <w:shd w:val="clear" w:color="auto" w:fill="auto"/>
            <w:vAlign w:val="center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  <w:r w:rsidRPr="00FB3690">
              <w:rPr>
                <w:b/>
                <w:bCs/>
              </w:rPr>
              <w:t>REPUESTA A LA PREGUNTA.</w:t>
            </w:r>
          </w:p>
        </w:tc>
        <w:tc>
          <w:tcPr>
            <w:tcW w:w="176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t xml:space="preserve">Se observa una postura clara y fundamentada. LA </w:t>
            </w:r>
            <w:r w:rsidRPr="00FB3690">
              <w:lastRenderedPageBreak/>
              <w:t>repuesta se encuentra justificada atendiendo a bibliografía referenciada.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t xml:space="preserve">Se observa una postura clara en la repuesta pero las </w:t>
            </w:r>
            <w:r w:rsidRPr="00FB3690">
              <w:lastRenderedPageBreak/>
              <w:t>opiniones no están apoyada en documentos referenciados.</w:t>
            </w:r>
          </w:p>
        </w:tc>
        <w:tc>
          <w:tcPr>
            <w:tcW w:w="193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81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t xml:space="preserve">No se observa una postura clara en la repuesta pero las </w:t>
            </w:r>
            <w:r w:rsidRPr="00FB3690">
              <w:lastRenderedPageBreak/>
              <w:t>opiniones están apoyadas en documentos referenciados.</w:t>
            </w:r>
          </w:p>
        </w:tc>
        <w:tc>
          <w:tcPr>
            <w:tcW w:w="198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88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t xml:space="preserve">La respuesta no está fundamentada. </w:t>
            </w:r>
            <w:r w:rsidRPr="00FB3690">
              <w:lastRenderedPageBreak/>
              <w:t>Justificación insuficiente.</w:t>
            </w:r>
          </w:p>
        </w:tc>
        <w:tc>
          <w:tcPr>
            <w:tcW w:w="192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  <w:tc>
          <w:tcPr>
            <w:tcW w:w="1745" w:type="dxa"/>
            <w:shd w:val="clear" w:color="auto" w:fill="auto"/>
          </w:tcPr>
          <w:p w:rsidR="00FB3690" w:rsidRPr="00FB3690" w:rsidRDefault="00FB3690" w:rsidP="00FB3690">
            <w:pPr>
              <w:rPr>
                <w:lang w:val="es-ES_tradnl"/>
              </w:rPr>
            </w:pPr>
            <w:r w:rsidRPr="00FB3690">
              <w:t>No existe postura, reflexión.</w:t>
            </w:r>
          </w:p>
        </w:tc>
        <w:tc>
          <w:tcPr>
            <w:tcW w:w="215" w:type="dxa"/>
            <w:shd w:val="clear" w:color="auto" w:fill="auto"/>
          </w:tcPr>
          <w:p w:rsidR="00FB3690" w:rsidRPr="00FB3690" w:rsidRDefault="00FB3690" w:rsidP="00FB3690">
            <w:pPr>
              <w:rPr>
                <w:b/>
                <w:lang w:val="es-ES_tradnl"/>
              </w:rPr>
            </w:pPr>
          </w:p>
        </w:tc>
      </w:tr>
      <w:bookmarkEnd w:id="0"/>
    </w:tbl>
    <w:p w:rsidR="00FB3690" w:rsidRDefault="00FB3690" w:rsidP="005E43A7">
      <w:pPr>
        <w:rPr>
          <w:lang w:val="es-ES_tradnl"/>
        </w:rPr>
      </w:pPr>
    </w:p>
    <w:p w:rsidR="00FB3690" w:rsidRDefault="00FB3690" w:rsidP="005E43A7">
      <w:pPr>
        <w:rPr>
          <w:lang w:val="es-ES_tradnl"/>
        </w:rPr>
      </w:pPr>
    </w:p>
    <w:p w:rsidR="00FB3690" w:rsidRPr="005E43A7" w:rsidRDefault="00FB3690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5E43A7" w:rsidRPr="005E43A7" w:rsidRDefault="005E43A7" w:rsidP="005E43A7">
      <w:pPr>
        <w:rPr>
          <w:lang w:val="es-ES_tradnl"/>
        </w:rPr>
      </w:pPr>
    </w:p>
    <w:p w:rsidR="0019324C" w:rsidRPr="005E43A7" w:rsidRDefault="0019324C" w:rsidP="005E43A7">
      <w:pPr>
        <w:rPr>
          <w:lang w:val="es-ES_tradnl"/>
        </w:rPr>
      </w:pPr>
    </w:p>
    <w:sectPr w:rsidR="0019324C" w:rsidRPr="005E4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BE7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55CD7"/>
    <w:multiLevelType w:val="hybridMultilevel"/>
    <w:tmpl w:val="EC6A2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4C"/>
    <w:rsid w:val="00034E13"/>
    <w:rsid w:val="0019324C"/>
    <w:rsid w:val="003252F6"/>
    <w:rsid w:val="003466F2"/>
    <w:rsid w:val="0040782C"/>
    <w:rsid w:val="00471B5B"/>
    <w:rsid w:val="004E001F"/>
    <w:rsid w:val="005164D7"/>
    <w:rsid w:val="00591A8C"/>
    <w:rsid w:val="005E43A7"/>
    <w:rsid w:val="00613890"/>
    <w:rsid w:val="006C511C"/>
    <w:rsid w:val="00745686"/>
    <w:rsid w:val="00986205"/>
    <w:rsid w:val="00C13E5C"/>
    <w:rsid w:val="00DD700D"/>
    <w:rsid w:val="00E4193F"/>
    <w:rsid w:val="00EE0026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B796"/>
  <w15:chartTrackingRefBased/>
  <w15:docId w15:val="{F5120F82-2E63-42C0-87BF-C6E701AE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2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0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3051164/MIV_L4_Desafios_N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245656_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4</cp:revision>
  <dcterms:created xsi:type="dcterms:W3CDTF">2021-05-29T17:10:00Z</dcterms:created>
  <dcterms:modified xsi:type="dcterms:W3CDTF">2021-05-30T06:32:00Z</dcterms:modified>
</cp:coreProperties>
</file>