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05C9" w14:textId="682D970B" w:rsidR="0073278D" w:rsidRDefault="0073278D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C800127" w14:textId="380867F3" w:rsidR="0073278D" w:rsidRDefault="00292DE9">
      <w:pPr>
        <w:spacing w:after="160" w:line="259" w:lineRule="auto"/>
        <w:rPr>
          <w:szCs w:val="20"/>
        </w:rPr>
      </w:pPr>
      <w:r w:rsidRPr="0073278D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B6ADA" wp14:editId="4B0F3929">
                <wp:simplePos x="0" y="0"/>
                <wp:positionH relativeFrom="margin">
                  <wp:posOffset>776777</wp:posOffset>
                </wp:positionH>
                <wp:positionV relativeFrom="paragraph">
                  <wp:posOffset>-121371</wp:posOffset>
                </wp:positionV>
                <wp:extent cx="7932420" cy="6005384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2420" cy="6005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A9248" w14:textId="4B29953D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>Escuela normal de Educación Preescolar</w:t>
                            </w:r>
                          </w:p>
                          <w:p w14:paraId="154F2DFD" w14:textId="0C9912F3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>Licenciatura en Educación Preescolar</w:t>
                            </w:r>
                          </w:p>
                          <w:p w14:paraId="67789E03" w14:textId="0EAD4E78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>Ciclo Escolar 2020 – 2021</w:t>
                            </w:r>
                          </w:p>
                          <w:p w14:paraId="29A80FC9" w14:textId="2F7262B8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  <w:p w14:paraId="5241F85F" w14:textId="77102B98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noProof/>
                                <w:sz w:val="24"/>
                                <w:lang w:val="es-MX" w:eastAsia="es-MX"/>
                              </w:rPr>
                              <w:drawing>
                                <wp:inline distT="0" distB="0" distL="0" distR="0" wp14:anchorId="00B08B4A" wp14:editId="37E6F64B">
                                  <wp:extent cx="1853565" cy="1383665"/>
                                  <wp:effectExtent l="0" t="0" r="0" b="6985"/>
                                  <wp:docPr id="1" name="Imagen 1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565" cy="138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655C15" w14:textId="356A9827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  <w:p w14:paraId="555BDD6B" w14:textId="10180CB1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40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40"/>
                                <w:lang w:val="es-MX"/>
                              </w:rPr>
                              <w:t>ACTIVIDAD 2.4</w:t>
                            </w:r>
                          </w:p>
                          <w:p w14:paraId="05AB9615" w14:textId="22A94473" w:rsidR="0073278D" w:rsidRPr="00292DE9" w:rsidRDefault="0073278D" w:rsidP="0073278D">
                            <w:pPr>
                              <w:jc w:val="center"/>
                              <w:rPr>
                                <w:b/>
                                <w:sz w:val="40"/>
                                <w:lang w:val="es-MX"/>
                              </w:rPr>
                            </w:pPr>
                          </w:p>
                          <w:p w14:paraId="52B3B8AF" w14:textId="3498D022" w:rsidR="0073278D" w:rsidRPr="00292DE9" w:rsidRDefault="0073278D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 xml:space="preserve">Curso: </w:t>
                            </w:r>
                            <w:r w:rsidR="00292DE9" w:rsidRPr="00292DE9">
                              <w:rPr>
                                <w:sz w:val="32"/>
                                <w:lang w:val="es-MX"/>
                              </w:rPr>
                              <w:t>Bases legales y normativas de la educación básica</w:t>
                            </w:r>
                          </w:p>
                          <w:p w14:paraId="6575785F" w14:textId="6697D46A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69BCC2AB" w14:textId="7C28D0D6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>Maestro:</w:t>
                            </w:r>
                            <w:r w:rsidRPr="00292DE9">
                              <w:rPr>
                                <w:sz w:val="32"/>
                                <w:lang w:val="es-MX"/>
                              </w:rPr>
                              <w:t xml:space="preserve"> Arturo Flores Rodríguez </w:t>
                            </w:r>
                          </w:p>
                          <w:p w14:paraId="44E0ADA2" w14:textId="7A71FE7C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023CC4B3" w14:textId="51ACB097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>Alumna:</w:t>
                            </w:r>
                            <w:r w:rsidRPr="00292DE9">
                              <w:rPr>
                                <w:sz w:val="32"/>
                                <w:lang w:val="es-MX"/>
                              </w:rPr>
                              <w:t xml:space="preserve"> Paulina Guerrero Sánchez </w:t>
                            </w:r>
                          </w:p>
                          <w:p w14:paraId="68FF6DEA" w14:textId="2A289AC7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72C685ED" w14:textId="0C86214F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sz w:val="32"/>
                                <w:lang w:val="es-MX"/>
                              </w:rPr>
                              <w:t>Número de lista: #9</w:t>
                            </w:r>
                          </w:p>
                          <w:p w14:paraId="10B89019" w14:textId="137CC2A0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34433D85" w14:textId="67FD9CAF" w:rsidR="00292DE9" w:rsidRPr="00292DE9" w:rsidRDefault="00292DE9" w:rsidP="0073278D">
                            <w:pPr>
                              <w:jc w:val="center"/>
                              <w:rPr>
                                <w:sz w:val="32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32"/>
                                <w:lang w:val="es-MX"/>
                              </w:rPr>
                              <w:t>Grado y sección</w:t>
                            </w:r>
                            <w:r w:rsidRPr="00292DE9">
                              <w:rPr>
                                <w:sz w:val="32"/>
                                <w:lang w:val="es-MX"/>
                              </w:rPr>
                              <w:t>:  3°A</w:t>
                            </w:r>
                          </w:p>
                          <w:p w14:paraId="662DAE47" w14:textId="4A4A9383" w:rsidR="00292DE9" w:rsidRDefault="00292DE9" w:rsidP="0073278D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  <w:p w14:paraId="2A09D34C" w14:textId="55FBC1C1" w:rsidR="00292DE9" w:rsidRPr="00292DE9" w:rsidRDefault="00292DE9" w:rsidP="0073278D">
                            <w:pPr>
                              <w:jc w:val="center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</w:p>
                          <w:p w14:paraId="3644FD54" w14:textId="138EFE3E" w:rsidR="00292DE9" w:rsidRPr="00292DE9" w:rsidRDefault="00292DE9" w:rsidP="0073278D">
                            <w:pPr>
                              <w:jc w:val="center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>30 de mayo, 2021</w:t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</w:r>
                            <w:r w:rsidRPr="00292DE9">
                              <w:rPr>
                                <w:b/>
                                <w:sz w:val="28"/>
                                <w:lang w:val="es-MX"/>
                              </w:rPr>
                              <w:tab/>
                              <w:t xml:space="preserve">Saltillo, Coahuila </w:t>
                            </w:r>
                          </w:p>
                          <w:p w14:paraId="38AE1010" w14:textId="08AAFEF3" w:rsidR="00292DE9" w:rsidRDefault="00292DE9" w:rsidP="0073278D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  <w:p w14:paraId="230353A5" w14:textId="77777777" w:rsidR="00292DE9" w:rsidRPr="00292DE9" w:rsidRDefault="00292DE9" w:rsidP="0073278D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</w:p>
                          <w:p w14:paraId="1F236002" w14:textId="14B005C0" w:rsidR="0073278D" w:rsidRDefault="0073278D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FD9582A" w14:textId="77777777" w:rsidR="0073278D" w:rsidRPr="0073278D" w:rsidRDefault="0073278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6A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15pt;margin-top:-9.55pt;width:624.6pt;height:47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" filled="f" stroked="f">
                <v:textbox>
                  <w:txbxContent>
                    <w:p w14:paraId="352A9248" w14:textId="4B29953D" w:rsidR="0073278D" w:rsidRPr="00292DE9" w:rsidRDefault="0073278D" w:rsidP="0073278D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>Escuela normal de Educación Preescolar</w:t>
                      </w:r>
                    </w:p>
                    <w:p w14:paraId="154F2DFD" w14:textId="0C9912F3" w:rsidR="0073278D" w:rsidRPr="00292DE9" w:rsidRDefault="0073278D" w:rsidP="0073278D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>Licenciatura en Educación Preescolar</w:t>
                      </w:r>
                    </w:p>
                    <w:p w14:paraId="67789E03" w14:textId="0EAD4E78" w:rsidR="0073278D" w:rsidRPr="00292DE9" w:rsidRDefault="0073278D" w:rsidP="0073278D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>Ciclo Escolar 2020 – 2021</w:t>
                      </w:r>
                    </w:p>
                    <w:p w14:paraId="29A80FC9" w14:textId="2F7262B8" w:rsidR="0073278D" w:rsidRPr="00292DE9" w:rsidRDefault="0073278D" w:rsidP="0073278D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  <w:p w14:paraId="5241F85F" w14:textId="77102B98" w:rsidR="0073278D" w:rsidRPr="00292DE9" w:rsidRDefault="0073278D" w:rsidP="0073278D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  <w:r w:rsidRPr="00292DE9">
                        <w:rPr>
                          <w:noProof/>
                          <w:sz w:val="24"/>
                          <w:lang w:val="es-MX" w:eastAsia="es-MX"/>
                        </w:rPr>
                        <w:drawing>
                          <wp:inline distT="0" distB="0" distL="0" distR="0" wp14:anchorId="00B08B4A" wp14:editId="37E6F64B">
                            <wp:extent cx="1853565" cy="1383665"/>
                            <wp:effectExtent l="0" t="0" r="0" b="6985"/>
                            <wp:docPr id="1" name="Imagen 1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565" cy="1383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655C15" w14:textId="356A9827" w:rsidR="0073278D" w:rsidRPr="00292DE9" w:rsidRDefault="0073278D" w:rsidP="0073278D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  <w:p w14:paraId="555BDD6B" w14:textId="10180CB1" w:rsidR="0073278D" w:rsidRPr="00292DE9" w:rsidRDefault="0073278D" w:rsidP="0073278D">
                      <w:pPr>
                        <w:jc w:val="center"/>
                        <w:rPr>
                          <w:b/>
                          <w:sz w:val="40"/>
                          <w:lang w:val="es-MX"/>
                        </w:rPr>
                      </w:pPr>
                      <w:r w:rsidRPr="00292DE9">
                        <w:rPr>
                          <w:b/>
                          <w:sz w:val="40"/>
                          <w:lang w:val="es-MX"/>
                        </w:rPr>
                        <w:t>ACTIVIDAD 2.4</w:t>
                      </w:r>
                    </w:p>
                    <w:p w14:paraId="05AB9615" w14:textId="22A94473" w:rsidR="0073278D" w:rsidRPr="00292DE9" w:rsidRDefault="0073278D" w:rsidP="0073278D">
                      <w:pPr>
                        <w:jc w:val="center"/>
                        <w:rPr>
                          <w:b/>
                          <w:sz w:val="40"/>
                          <w:lang w:val="es-MX"/>
                        </w:rPr>
                      </w:pPr>
                    </w:p>
                    <w:p w14:paraId="52B3B8AF" w14:textId="3498D022" w:rsidR="0073278D" w:rsidRPr="00292DE9" w:rsidRDefault="0073278D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 xml:space="preserve">Curso: </w:t>
                      </w:r>
                      <w:r w:rsidR="00292DE9" w:rsidRPr="00292DE9">
                        <w:rPr>
                          <w:sz w:val="32"/>
                          <w:lang w:val="es-MX"/>
                        </w:rPr>
                        <w:t>Bases legales y normativas de la educación básica</w:t>
                      </w:r>
                    </w:p>
                    <w:p w14:paraId="6575785F" w14:textId="6697D46A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</w:p>
                    <w:p w14:paraId="69BCC2AB" w14:textId="7C28D0D6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>Maestro:</w:t>
                      </w:r>
                      <w:r w:rsidRPr="00292DE9">
                        <w:rPr>
                          <w:sz w:val="32"/>
                          <w:lang w:val="es-MX"/>
                        </w:rPr>
                        <w:t xml:space="preserve"> Arturo Flores Rodríguez </w:t>
                      </w:r>
                    </w:p>
                    <w:p w14:paraId="44E0ADA2" w14:textId="7A71FE7C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</w:p>
                    <w:p w14:paraId="023CC4B3" w14:textId="51ACB097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>Alumna:</w:t>
                      </w:r>
                      <w:r w:rsidRPr="00292DE9">
                        <w:rPr>
                          <w:sz w:val="32"/>
                          <w:lang w:val="es-MX"/>
                        </w:rPr>
                        <w:t xml:space="preserve"> Paulina Guerrero Sánchez </w:t>
                      </w:r>
                    </w:p>
                    <w:p w14:paraId="68FF6DEA" w14:textId="2A289AC7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</w:p>
                    <w:p w14:paraId="72C685ED" w14:textId="0C86214F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 w:rsidRPr="00292DE9">
                        <w:rPr>
                          <w:sz w:val="32"/>
                          <w:lang w:val="es-MX"/>
                        </w:rPr>
                        <w:t>Número de lista: #9</w:t>
                      </w:r>
                    </w:p>
                    <w:p w14:paraId="10B89019" w14:textId="137CC2A0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</w:p>
                    <w:p w14:paraId="34433D85" w14:textId="67FD9CAF" w:rsidR="00292DE9" w:rsidRPr="00292DE9" w:rsidRDefault="00292DE9" w:rsidP="0073278D">
                      <w:pPr>
                        <w:jc w:val="center"/>
                        <w:rPr>
                          <w:sz w:val="32"/>
                          <w:lang w:val="es-MX"/>
                        </w:rPr>
                      </w:pPr>
                      <w:r w:rsidRPr="00292DE9">
                        <w:rPr>
                          <w:b/>
                          <w:sz w:val="32"/>
                          <w:lang w:val="es-MX"/>
                        </w:rPr>
                        <w:t>Grado y sección</w:t>
                      </w:r>
                      <w:r w:rsidRPr="00292DE9">
                        <w:rPr>
                          <w:sz w:val="32"/>
                          <w:lang w:val="es-MX"/>
                        </w:rPr>
                        <w:t>:  3°A</w:t>
                      </w:r>
                    </w:p>
                    <w:p w14:paraId="662DAE47" w14:textId="4A4A9383" w:rsidR="00292DE9" w:rsidRDefault="00292DE9" w:rsidP="0073278D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</w:p>
                    <w:p w14:paraId="2A09D34C" w14:textId="55FBC1C1" w:rsidR="00292DE9" w:rsidRPr="00292DE9" w:rsidRDefault="00292DE9" w:rsidP="0073278D">
                      <w:pPr>
                        <w:jc w:val="center"/>
                        <w:rPr>
                          <w:b/>
                          <w:sz w:val="28"/>
                          <w:lang w:val="es-MX"/>
                        </w:rPr>
                      </w:pPr>
                    </w:p>
                    <w:p w14:paraId="3644FD54" w14:textId="138EFE3E" w:rsidR="00292DE9" w:rsidRPr="00292DE9" w:rsidRDefault="00292DE9" w:rsidP="0073278D">
                      <w:pPr>
                        <w:jc w:val="center"/>
                        <w:rPr>
                          <w:b/>
                          <w:sz w:val="28"/>
                          <w:lang w:val="es-MX"/>
                        </w:rPr>
                      </w:pPr>
                      <w:r w:rsidRPr="00292DE9">
                        <w:rPr>
                          <w:b/>
                          <w:sz w:val="28"/>
                          <w:lang w:val="es-MX"/>
                        </w:rPr>
                        <w:t>30 de mayo, 2021</w:t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</w:r>
                      <w:r w:rsidRPr="00292DE9">
                        <w:rPr>
                          <w:b/>
                          <w:sz w:val="28"/>
                          <w:lang w:val="es-MX"/>
                        </w:rPr>
                        <w:tab/>
                        <w:t xml:space="preserve">Saltillo, Coahuila </w:t>
                      </w:r>
                    </w:p>
                    <w:p w14:paraId="38AE1010" w14:textId="08AAFEF3" w:rsidR="00292DE9" w:rsidRDefault="00292DE9" w:rsidP="0073278D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</w:p>
                    <w:p w14:paraId="230353A5" w14:textId="77777777" w:rsidR="00292DE9" w:rsidRPr="00292DE9" w:rsidRDefault="00292DE9" w:rsidP="0073278D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</w:p>
                    <w:p w14:paraId="1F236002" w14:textId="14B005C0" w:rsidR="0073278D" w:rsidRDefault="0073278D">
                      <w:pPr>
                        <w:rPr>
                          <w:lang w:val="es-MX"/>
                        </w:rPr>
                      </w:pPr>
                    </w:p>
                    <w:p w14:paraId="3FD9582A" w14:textId="77777777" w:rsidR="0073278D" w:rsidRPr="0073278D" w:rsidRDefault="0073278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78D">
        <w:rPr>
          <w:szCs w:val="20"/>
        </w:rPr>
        <w:br w:type="page"/>
      </w:r>
      <w:bookmarkStart w:id="0" w:name="_GoBack"/>
      <w:bookmarkEnd w:id="0"/>
    </w:p>
    <w:p w14:paraId="6555193C" w14:textId="60F52424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68E3EE9C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14:paraId="069F59F9" w14:textId="77777777" w:rsidTr="005034BA">
        <w:tc>
          <w:tcPr>
            <w:tcW w:w="4414" w:type="dxa"/>
          </w:tcPr>
          <w:p w14:paraId="00083AC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5034BA" w14:paraId="742E80F1" w14:textId="77777777" w:rsidTr="005034BA">
        <w:tc>
          <w:tcPr>
            <w:tcW w:w="4414" w:type="dxa"/>
          </w:tcPr>
          <w:p w14:paraId="2A4B4E5F" w14:textId="77777777" w:rsidR="005034BA" w:rsidRPr="007E6E5F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2579E21E" w:rsidR="005034BA" w:rsidRPr="00A82952" w:rsidRDefault="00A82952" w:rsidP="0069146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En México se vive mucha desigualdad en la educación desde </w:t>
            </w:r>
            <w:r w:rsidR="0069146F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hace muchos años y se da </w:t>
            </w: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principalmente en zona marginas o de muy bajos recursos, pues son las que más carecen de recursos</w:t>
            </w:r>
            <w:r w:rsid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y de</w:t>
            </w:r>
            <w:r w:rsid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maestros bien preparados. U</w:t>
            </w:r>
            <w:r w:rsid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no </w:t>
            </w:r>
            <w:r w:rsidR="00504C04" w:rsidRP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de los principales problemas d</w:t>
            </w:r>
            <w:r w:rsid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el </w:t>
            </w:r>
            <w:r w:rsid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sistema educativo mexicano es que no</w:t>
            </w:r>
            <w:r w:rsidR="00504C04" w:rsidRP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garantiza la educación a la mayor parte de los ciudadanos.</w:t>
            </w:r>
            <w:r w:rsid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</w:t>
            </w:r>
            <w:r w:rsidR="00504C04" w:rsidRP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E</w:t>
            </w:r>
            <w:r w:rsid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xisten </w:t>
            </w:r>
            <w:r w:rsid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muchas </w:t>
            </w:r>
            <w:r w:rsid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comunidades rurales,</w:t>
            </w:r>
            <w:r w:rsidR="00504C04" w:rsidRPr="00504C0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en su mayoría indígenas, que no cuentan con opciones educativas cercanas, por lo que sólo reciben educación formal aquellos que tienen la oportunidad de transportarse a otras comunidades de manera diaria.</w:t>
            </w:r>
            <w:r w:rsid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Se deben p</w:t>
            </w:r>
            <w:r w:rsidR="00C263E1" w:rsidRP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roponer cambios curriculares que incentiven una mayor equidad</w:t>
            </w:r>
            <w:r w:rsid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educativa entre niños y niñas, y también p</w:t>
            </w:r>
            <w:r w:rsidR="00C263E1" w:rsidRPr="00C263E1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riorizar el aprendizaje de las comunidades indígenas.</w:t>
            </w:r>
          </w:p>
        </w:tc>
      </w:tr>
      <w:tr w:rsidR="005034BA" w14:paraId="51747BB2" w14:textId="77777777" w:rsidTr="005034BA">
        <w:tc>
          <w:tcPr>
            <w:tcW w:w="4414" w:type="dxa"/>
          </w:tcPr>
          <w:p w14:paraId="371583A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1B8ED455" w14:textId="1E150752" w:rsidR="005034BA" w:rsidRPr="00236412" w:rsidRDefault="00236412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 w:rsidRPr="00236412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Debemos </w:t>
            </w:r>
            <w:proofErr w:type="gramStart"/>
            <w:r w:rsidRPr="00236412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ofrecerle</w:t>
            </w:r>
            <w:proofErr w:type="gramEnd"/>
            <w:r w:rsidRPr="00236412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a nuestros alumnos una educación intercultural inclusiva, en donde </w:t>
            </w: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todos y todas seamos respetados a pesar de nuestras diferencias culturales, lingüísticas y sociales, pues todos tenemos derecho a una educación democrática donde podamos expresarnos o ser escuchados por los demás sin temor a ser juzgados.  </w:t>
            </w:r>
          </w:p>
        </w:tc>
      </w:tr>
      <w:tr w:rsidR="005034BA" w14:paraId="45AD3C06" w14:textId="77777777" w:rsidTr="005034BA">
        <w:tc>
          <w:tcPr>
            <w:tcW w:w="4414" w:type="dxa"/>
          </w:tcPr>
          <w:p w14:paraId="7CBA4C0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56924D53" w14:textId="47684EDC" w:rsidR="005034BA" w:rsidRPr="0069146F" w:rsidRDefault="0069146F" w:rsidP="00071AF4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</w:pPr>
            <w:r w:rsidRPr="0069146F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Com</w:t>
            </w: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o futuros docentes debemos reconocer la importancia de</w:t>
            </w:r>
            <w:r w:rsidRPr="0069146F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algunos </w:t>
            </w: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símbolos </w:t>
            </w:r>
            <w:r w:rsidR="00071AF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y valores como:</w:t>
            </w:r>
            <w:r w:rsidR="00071AF4"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 xml:space="preserve"> el amo</w:t>
            </w:r>
            <w:r w:rsidR="00071AF4"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r a la Patria, el aprecio por nuestra cultura y</w:t>
            </w:r>
            <w:r w:rsidR="00071AF4"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 xml:space="preserve"> el conocimiento de su historia </w:t>
            </w:r>
            <w:r w:rsidR="00071AF4"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 xml:space="preserve">desde siglos atrás puesto </w:t>
            </w:r>
            <w:r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que han marcado </w:t>
            </w:r>
            <w:r w:rsidR="00071AF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>la historia de nuestro país</w:t>
            </w:r>
            <w:r w:rsidR="0090185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y de esta manera nosotros podamos</w:t>
            </w:r>
            <w:r w:rsidR="00071AF4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expresarlo y enseñárselo a nuestros alumnos, con la finalidad de que ellos también conozcan la importancia y el valor</w:t>
            </w:r>
            <w:r w:rsidR="00901858">
              <w:rPr>
                <w:rFonts w:ascii="Montserrat-Bold" w:hAnsi="Montserrat-Bold" w:cs="Montserrat-Bold"/>
                <w:bCs/>
                <w:color w:val="000000"/>
                <w:sz w:val="20"/>
                <w:szCs w:val="20"/>
              </w:rPr>
              <w:t xml:space="preserve"> de cada uno de estos desde edades tempranas.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Declaración de </w:t>
      </w:r>
      <w:proofErr w:type="spellStart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Incheon</w:t>
      </w:r>
      <w:proofErr w:type="spellEnd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 y Marco de Acción ODS 4–Educación 2030.</w:t>
      </w:r>
    </w:p>
    <w:p w14:paraId="7F0DF4BF" w14:textId="77777777" w:rsidR="005034BA" w:rsidRDefault="00292DE9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F9EE481" w14:textId="77777777" w:rsidR="005034BA" w:rsidRPr="00362F3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¿Cuáles consideras que son las responsabilidades de las maestras y los maestros en el trabajo del aula y la escuela en el cumplimiento de las metas de la Declaración de </w:t>
      </w:r>
      <w:proofErr w:type="spellStart"/>
      <w:r>
        <w:rPr>
          <w:rFonts w:ascii="Montserrat-Regular" w:hAnsi="Montserrat-Regular" w:cs="Montserrat-Regular"/>
          <w:color w:val="000000"/>
          <w:sz w:val="20"/>
          <w:szCs w:val="20"/>
        </w:rPr>
        <w:t>Incheon</w:t>
      </w:r>
      <w:proofErr w:type="spellEnd"/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DB0F00B" w14:textId="416C3E7C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0A5F3E9" w14:textId="298B1BD2" w:rsidR="00C30346" w:rsidRDefault="00C30346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8B70999" w14:textId="00F82946" w:rsidR="00C30346" w:rsidRDefault="00C30346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4B540B1E" w14:textId="723B4993" w:rsidR="00C30346" w:rsidRDefault="00C30346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6782833D" w14:textId="77777777" w:rsidR="00C30346" w:rsidRDefault="00C30346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14:paraId="63FC74C5" w14:textId="77777777" w:rsidTr="005034BA">
        <w:tc>
          <w:tcPr>
            <w:tcW w:w="13887" w:type="dxa"/>
          </w:tcPr>
          <w:p w14:paraId="4A9D916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lastRenderedPageBreak/>
              <w:t xml:space="preserve">Responsabilidades de las maestras y los maestros en el cumplimiento de las metas de la Declaración de </w:t>
            </w:r>
            <w:proofErr w:type="spellStart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Incheon</w:t>
            </w:r>
            <w:proofErr w:type="spellEnd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19E0E6A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34A3A55D" w14:textId="77777777" w:rsidTr="005034BA">
        <w:tc>
          <w:tcPr>
            <w:tcW w:w="13887" w:type="dxa"/>
          </w:tcPr>
          <w:p w14:paraId="671891F1" w14:textId="1A27458C" w:rsidR="005034BA" w:rsidRPr="005D0660" w:rsidRDefault="005034BA" w:rsidP="00AD5C33">
            <w:pPr>
              <w:autoSpaceDE w:val="0"/>
              <w:autoSpaceDN w:val="0"/>
              <w:adjustRightInd w:val="0"/>
              <w:jc w:val="both"/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.</w:t>
            </w:r>
            <w:r w:rsidR="005D0660">
              <w:t xml:space="preserve"> Servidores públicos conscientes de su responsabilidad social </w:t>
            </w:r>
            <w:r w:rsidR="003D48D3">
              <w:t xml:space="preserve">y educativa, en los que se confía la formación de la personalidad, cultura, cosmovisión y actuar de los alumnos. </w:t>
            </w:r>
          </w:p>
        </w:tc>
      </w:tr>
      <w:tr w:rsidR="005034BA" w14:paraId="2EDDD3F8" w14:textId="77777777" w:rsidTr="005034BA">
        <w:tc>
          <w:tcPr>
            <w:tcW w:w="13887" w:type="dxa"/>
          </w:tcPr>
          <w:p w14:paraId="050BC053" w14:textId="4C496054" w:rsidR="005034BA" w:rsidRPr="003D48D3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Cs w:val="20"/>
              </w:rPr>
            </w:pPr>
            <w:r w:rsidRPr="003D48D3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4.2</w:t>
            </w:r>
            <w:r w:rsidRPr="003D48D3">
              <w:rPr>
                <w:rFonts w:ascii="Montserrat-Bold" w:hAnsi="Montserrat-Bold" w:cs="Montserrat-Bold"/>
                <w:b/>
                <w:bCs/>
                <w:color w:val="000000"/>
                <w:szCs w:val="20"/>
              </w:rPr>
              <w:t>.</w:t>
            </w:r>
            <w:r w:rsidR="003D48D3" w:rsidRPr="003D48D3">
              <w:rPr>
                <w:rFonts w:ascii="Montserrat-Bold" w:hAnsi="Montserrat-Bold" w:cs="Montserrat-Bold"/>
                <w:bCs/>
                <w:color w:val="000000"/>
                <w:szCs w:val="20"/>
              </w:rPr>
              <w:t xml:space="preserve">  Mujeres y hombres profesionistas, bien preparados, competentes y honestos.</w:t>
            </w:r>
          </w:p>
        </w:tc>
      </w:tr>
      <w:tr w:rsidR="005034BA" w14:paraId="65BCB022" w14:textId="77777777" w:rsidTr="005034BA">
        <w:tc>
          <w:tcPr>
            <w:tcW w:w="13887" w:type="dxa"/>
          </w:tcPr>
          <w:p w14:paraId="0F19A431" w14:textId="56AB25CC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  <w:r w:rsidR="003D48D3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3D48D3">
              <w:rPr>
                <w:rFonts w:ascii="Montserrat-Bold" w:hAnsi="Montserrat-Bold" w:cs="Montserrat-Bold"/>
                <w:bCs/>
                <w:color w:val="000000"/>
                <w:szCs w:val="20"/>
              </w:rPr>
              <w:t xml:space="preserve">Sensibles y atentos a las problemáticas de los alumnos, madres y padres de familia así como la comunidad en general </w:t>
            </w:r>
          </w:p>
        </w:tc>
      </w:tr>
      <w:tr w:rsidR="005034BA" w14:paraId="1D611806" w14:textId="77777777" w:rsidTr="005034BA">
        <w:tc>
          <w:tcPr>
            <w:tcW w:w="13887" w:type="dxa"/>
          </w:tcPr>
          <w:p w14:paraId="12BDFB5F" w14:textId="64A50EAA" w:rsidR="005034BA" w:rsidRPr="003D48D3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3D48D3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D48D3">
              <w:rPr>
                <w:rFonts w:ascii="Montserrat-Bold" w:hAnsi="Montserrat-Bold" w:cs="Montserrat-Bold"/>
                <w:bCs/>
                <w:color w:val="000000"/>
                <w:szCs w:val="20"/>
              </w:rPr>
              <w:t>Desarrollar las capacidades intelectuales, físicas, morales y espirituales de los alumnos</w:t>
            </w:r>
            <w:r w:rsidR="0073278D">
              <w:rPr>
                <w:rFonts w:ascii="Montserrat-Bold" w:hAnsi="Montserrat-Bold" w:cs="Montserrat-Bold"/>
                <w:bCs/>
                <w:color w:val="000000"/>
                <w:szCs w:val="20"/>
              </w:rPr>
              <w:t>.</w:t>
            </w:r>
          </w:p>
        </w:tc>
      </w:tr>
      <w:tr w:rsidR="005034BA" w14:paraId="1B2532B0" w14:textId="77777777" w:rsidTr="005034BA">
        <w:tc>
          <w:tcPr>
            <w:tcW w:w="13887" w:type="dxa"/>
          </w:tcPr>
          <w:p w14:paraId="30E34D9C" w14:textId="5428C4FB" w:rsidR="005034BA" w:rsidRPr="0073278D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Cs/>
                <w:color w:val="00000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  <w:r w:rsidR="0073278D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73278D">
              <w:rPr>
                <w:rFonts w:ascii="Montserrat-Bold" w:hAnsi="Montserrat-Bold" w:cs="Montserrat-Bold"/>
                <w:bCs/>
                <w:color w:val="000000"/>
                <w:szCs w:val="20"/>
              </w:rPr>
              <w:t>Forjar convicciones ciudadanas y patrióticas que dignifiquen la condición humana y favorezcan su integración racional, amable y comprometida con el medio social y natural en donde viven</w:t>
            </w:r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36ED1C87" w:rsidR="008A44E3" w:rsidRDefault="008A44E3" w:rsidP="00677DE9"/>
    <w:sectPr w:rsidR="008A44E3" w:rsidSect="00292DE9">
      <w:pgSz w:w="15840" w:h="12240" w:orient="landscape"/>
      <w:pgMar w:top="993" w:right="1417" w:bottom="1701" w:left="567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071AF4"/>
    <w:rsid w:val="00236412"/>
    <w:rsid w:val="00292DE9"/>
    <w:rsid w:val="003D48D3"/>
    <w:rsid w:val="003F0AFF"/>
    <w:rsid w:val="005034BA"/>
    <w:rsid w:val="00504C04"/>
    <w:rsid w:val="005D0660"/>
    <w:rsid w:val="00677DE9"/>
    <w:rsid w:val="0069146F"/>
    <w:rsid w:val="0073278D"/>
    <w:rsid w:val="007704D8"/>
    <w:rsid w:val="007A1F24"/>
    <w:rsid w:val="008A44E3"/>
    <w:rsid w:val="00901858"/>
    <w:rsid w:val="00972888"/>
    <w:rsid w:val="00A6500F"/>
    <w:rsid w:val="00A82952"/>
    <w:rsid w:val="00C056CD"/>
    <w:rsid w:val="00C263E1"/>
    <w:rsid w:val="00C30346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paulina guerrero sanchez</cp:lastModifiedBy>
  <cp:revision>2</cp:revision>
  <dcterms:created xsi:type="dcterms:W3CDTF">2021-05-30T22:59:00Z</dcterms:created>
  <dcterms:modified xsi:type="dcterms:W3CDTF">2021-05-30T22:59:00Z</dcterms:modified>
</cp:coreProperties>
</file>