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0E9D7" w14:textId="78EE06DE" w:rsidR="006A603A" w:rsidRDefault="006A603A">
      <w:r w:rsidRPr="00090403">
        <w:rPr>
          <w:rFonts w:ascii="Arial" w:eastAsia="Calibri" w:hAnsi="Arial" w:cs="Arial"/>
          <w:noProof/>
          <w:lang w:eastAsia="es-MX"/>
        </w:rPr>
        <w:drawing>
          <wp:anchor distT="0" distB="0" distL="114300" distR="114300" simplePos="0" relativeHeight="251659264" behindDoc="1" locked="0" layoutInCell="1" allowOverlap="1" wp14:anchorId="6FB9CF31" wp14:editId="125C616F">
            <wp:simplePos x="0" y="0"/>
            <wp:positionH relativeFrom="margin">
              <wp:align>center</wp:align>
            </wp:positionH>
            <wp:positionV relativeFrom="paragraph">
              <wp:posOffset>-200660</wp:posOffset>
            </wp:positionV>
            <wp:extent cx="938063" cy="1162050"/>
            <wp:effectExtent l="0" t="0" r="0" b="0"/>
            <wp:wrapNone/>
            <wp:docPr id="8" name="Imagen 8" descr="Escuela Normal de Educación Preescolar – Desarrollo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
                    <pic:cNvPicPr>
                      <a:picLocks noChangeAspect="1" noChangeArrowheads="1"/>
                    </pic:cNvPicPr>
                  </pic:nvPicPr>
                  <pic:blipFill rotWithShape="1">
                    <a:blip r:embed="rId4">
                      <a:extLst>
                        <a:ext uri="{28A0092B-C50C-407E-A947-70E740481C1C}">
                          <a14:useLocalDpi xmlns:a14="http://schemas.microsoft.com/office/drawing/2010/main" val="0"/>
                        </a:ext>
                      </a:extLst>
                    </a:blip>
                    <a:srcRect l="22051" r="17948"/>
                    <a:stretch/>
                  </pic:blipFill>
                  <pic:spPr bwMode="auto">
                    <a:xfrm>
                      <a:off x="0" y="0"/>
                      <a:ext cx="938063" cy="1162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8D657FA" w14:textId="0484E266" w:rsidR="006A603A" w:rsidRPr="00AB01AD" w:rsidRDefault="006A603A" w:rsidP="006A603A">
      <w:pPr>
        <w:rPr>
          <w:rFonts w:ascii="Arial" w:eastAsia="Calibri" w:hAnsi="Arial" w:cs="Arial"/>
          <w:sz w:val="36"/>
          <w:szCs w:val="36"/>
        </w:rPr>
      </w:pPr>
    </w:p>
    <w:p w14:paraId="31F9F913" w14:textId="77777777" w:rsidR="006A603A" w:rsidRPr="006A603A" w:rsidRDefault="006A603A" w:rsidP="006A603A">
      <w:pPr>
        <w:jc w:val="center"/>
        <w:rPr>
          <w:rFonts w:ascii="Century Gothic" w:eastAsia="Calibri" w:hAnsi="Century Gothic" w:cs="Arial"/>
          <w:sz w:val="24"/>
          <w:szCs w:val="24"/>
        </w:rPr>
      </w:pPr>
    </w:p>
    <w:p w14:paraId="5DD50CEA" w14:textId="77777777" w:rsidR="006A603A" w:rsidRPr="006A603A" w:rsidRDefault="006A603A" w:rsidP="006A603A">
      <w:pPr>
        <w:jc w:val="center"/>
        <w:rPr>
          <w:rFonts w:ascii="Century Gothic" w:eastAsia="Calibri" w:hAnsi="Century Gothic" w:cs="Arial"/>
          <w:b/>
          <w:bCs/>
          <w:sz w:val="32"/>
          <w:szCs w:val="32"/>
        </w:rPr>
      </w:pPr>
      <w:r w:rsidRPr="006A603A">
        <w:rPr>
          <w:rFonts w:ascii="Century Gothic" w:eastAsia="Calibri" w:hAnsi="Century Gothic" w:cs="Arial"/>
          <w:b/>
          <w:bCs/>
          <w:sz w:val="32"/>
          <w:szCs w:val="32"/>
        </w:rPr>
        <w:t>Escuela Normal de Educación Preescolar</w:t>
      </w:r>
    </w:p>
    <w:p w14:paraId="515D63FE" w14:textId="77777777" w:rsidR="006A603A" w:rsidRPr="006A603A" w:rsidRDefault="006A603A" w:rsidP="006A603A">
      <w:pPr>
        <w:jc w:val="center"/>
        <w:rPr>
          <w:rFonts w:ascii="Century Gothic" w:eastAsia="Calibri" w:hAnsi="Century Gothic" w:cs="Arial"/>
          <w:sz w:val="24"/>
          <w:szCs w:val="24"/>
        </w:rPr>
      </w:pPr>
      <w:r w:rsidRPr="006A603A">
        <w:rPr>
          <w:rFonts w:ascii="Century Gothic" w:eastAsia="Calibri" w:hAnsi="Century Gothic" w:cs="Arial"/>
          <w:sz w:val="24"/>
          <w:szCs w:val="24"/>
        </w:rPr>
        <w:t>Licenciatura en Educación Preescolar</w:t>
      </w:r>
    </w:p>
    <w:p w14:paraId="06D1F233" w14:textId="77777777" w:rsidR="006A603A" w:rsidRPr="006A603A" w:rsidRDefault="006A603A" w:rsidP="006A603A">
      <w:pPr>
        <w:jc w:val="center"/>
        <w:rPr>
          <w:rFonts w:ascii="Century Gothic" w:eastAsia="Calibri" w:hAnsi="Century Gothic" w:cs="Arial"/>
          <w:sz w:val="24"/>
          <w:szCs w:val="24"/>
        </w:rPr>
      </w:pPr>
      <w:r w:rsidRPr="006A603A">
        <w:rPr>
          <w:rFonts w:ascii="Century Gothic" w:eastAsia="Calibri" w:hAnsi="Century Gothic" w:cs="Arial"/>
          <w:b/>
          <w:bCs/>
          <w:sz w:val="24"/>
          <w:szCs w:val="24"/>
        </w:rPr>
        <w:t>Asignatura:</w:t>
      </w:r>
      <w:r w:rsidRPr="006A603A">
        <w:rPr>
          <w:rFonts w:ascii="Century Gothic" w:eastAsia="Calibri" w:hAnsi="Century Gothic" w:cs="Arial"/>
          <w:sz w:val="24"/>
          <w:szCs w:val="24"/>
        </w:rPr>
        <w:t xml:space="preserve"> Estrategias para la exploración de mundo social</w:t>
      </w:r>
    </w:p>
    <w:p w14:paraId="3F4549B9" w14:textId="77777777" w:rsidR="006A603A" w:rsidRPr="006A603A" w:rsidRDefault="006A603A" w:rsidP="006A603A">
      <w:pPr>
        <w:jc w:val="center"/>
        <w:rPr>
          <w:rFonts w:ascii="Century Gothic" w:eastAsia="Calibri" w:hAnsi="Century Gothic" w:cs="Arial"/>
          <w:sz w:val="24"/>
          <w:szCs w:val="24"/>
        </w:rPr>
      </w:pPr>
      <w:r w:rsidRPr="006A603A">
        <w:rPr>
          <w:rFonts w:ascii="Century Gothic" w:eastAsia="Calibri" w:hAnsi="Century Gothic" w:cs="Arial"/>
          <w:b/>
          <w:bCs/>
          <w:sz w:val="24"/>
          <w:szCs w:val="24"/>
        </w:rPr>
        <w:t>Maestro:</w:t>
      </w:r>
      <w:r w:rsidRPr="006A603A">
        <w:rPr>
          <w:rFonts w:ascii="Century Gothic" w:eastAsia="Calibri" w:hAnsi="Century Gothic" w:cs="Arial"/>
          <w:sz w:val="24"/>
          <w:szCs w:val="24"/>
        </w:rPr>
        <w:t xml:space="preserve"> Roberto Acosta Robles</w:t>
      </w:r>
    </w:p>
    <w:p w14:paraId="602A04B7" w14:textId="5E409F7C" w:rsidR="006A603A" w:rsidRPr="006A603A" w:rsidRDefault="006A603A" w:rsidP="006A603A">
      <w:pPr>
        <w:jc w:val="center"/>
        <w:rPr>
          <w:rFonts w:ascii="Century Gothic" w:eastAsia="Calibri" w:hAnsi="Century Gothic" w:cs="Arial"/>
          <w:b/>
          <w:bCs/>
          <w:sz w:val="24"/>
          <w:szCs w:val="24"/>
          <w:u w:val="single"/>
        </w:rPr>
      </w:pPr>
      <w:r w:rsidRPr="006A603A">
        <w:rPr>
          <w:rFonts w:ascii="Century Gothic" w:eastAsia="Calibri" w:hAnsi="Century Gothic" w:cs="Arial"/>
          <w:b/>
          <w:bCs/>
          <w:sz w:val="24"/>
          <w:szCs w:val="24"/>
          <w:u w:val="single"/>
        </w:rPr>
        <w:t>“</w:t>
      </w:r>
      <w:r>
        <w:rPr>
          <w:rFonts w:ascii="Century Gothic" w:eastAsia="Calibri" w:hAnsi="Century Gothic" w:cs="Arial"/>
          <w:b/>
          <w:bCs/>
          <w:sz w:val="24"/>
          <w:szCs w:val="24"/>
          <w:u w:val="single"/>
        </w:rPr>
        <w:t>Ideas principales de la entrevista al autor Carlos Skylar</w:t>
      </w:r>
      <w:r w:rsidRPr="006A603A">
        <w:rPr>
          <w:rFonts w:ascii="Century Gothic" w:eastAsia="Calibri" w:hAnsi="Century Gothic" w:cs="Arial"/>
          <w:b/>
          <w:bCs/>
          <w:sz w:val="24"/>
          <w:szCs w:val="24"/>
          <w:u w:val="single"/>
        </w:rPr>
        <w:t>”</w:t>
      </w:r>
    </w:p>
    <w:p w14:paraId="4703B766" w14:textId="77777777" w:rsidR="006A603A" w:rsidRPr="006A603A" w:rsidRDefault="006A603A" w:rsidP="006A603A">
      <w:pPr>
        <w:jc w:val="center"/>
        <w:rPr>
          <w:rFonts w:ascii="Century Gothic" w:eastAsia="Calibri" w:hAnsi="Century Gothic" w:cs="Arial"/>
          <w:b/>
          <w:bCs/>
          <w:sz w:val="24"/>
          <w:szCs w:val="24"/>
        </w:rPr>
      </w:pPr>
      <w:r w:rsidRPr="006A603A">
        <w:rPr>
          <w:rFonts w:ascii="Century Gothic" w:eastAsia="Calibri" w:hAnsi="Century Gothic" w:cs="Arial"/>
          <w:b/>
          <w:bCs/>
          <w:sz w:val="24"/>
          <w:szCs w:val="24"/>
        </w:rPr>
        <w:t>Unidad II</w:t>
      </w:r>
    </w:p>
    <w:p w14:paraId="749F9280" w14:textId="77777777" w:rsidR="006A603A" w:rsidRPr="006A603A" w:rsidRDefault="006A603A" w:rsidP="006A603A">
      <w:pPr>
        <w:jc w:val="center"/>
        <w:rPr>
          <w:rFonts w:ascii="Century Gothic" w:eastAsia="Calibri" w:hAnsi="Century Gothic" w:cs="Arial"/>
          <w:b/>
          <w:bCs/>
          <w:sz w:val="24"/>
          <w:szCs w:val="24"/>
        </w:rPr>
      </w:pPr>
      <w:r w:rsidRPr="006A603A">
        <w:rPr>
          <w:rFonts w:ascii="Century Gothic" w:eastAsia="Calibri" w:hAnsi="Century Gothic" w:cs="Arial"/>
          <w:b/>
          <w:bCs/>
          <w:sz w:val="24"/>
          <w:szCs w:val="24"/>
        </w:rPr>
        <w:t xml:space="preserve">LA FAMILIA: EL PRIMER ESPACIO SOCIAL DE </w:t>
      </w:r>
      <w:proofErr w:type="gramStart"/>
      <w:r w:rsidRPr="006A603A">
        <w:rPr>
          <w:rFonts w:ascii="Century Gothic" w:eastAsia="Calibri" w:hAnsi="Century Gothic" w:cs="Arial"/>
          <w:b/>
          <w:bCs/>
          <w:sz w:val="24"/>
          <w:szCs w:val="24"/>
        </w:rPr>
        <w:t>LAS NIÑAS Y NIÑOS</w:t>
      </w:r>
      <w:proofErr w:type="gramEnd"/>
      <w:r w:rsidRPr="006A603A">
        <w:rPr>
          <w:rFonts w:ascii="Century Gothic" w:eastAsia="Calibri" w:hAnsi="Century Gothic" w:cs="Arial"/>
          <w:b/>
          <w:bCs/>
          <w:sz w:val="24"/>
          <w:szCs w:val="24"/>
        </w:rPr>
        <w:t xml:space="preserve"> DE PREESCOLAR.</w:t>
      </w:r>
    </w:p>
    <w:p w14:paraId="28C43F86" w14:textId="77777777" w:rsidR="006A603A" w:rsidRPr="006A603A" w:rsidRDefault="006A603A" w:rsidP="006A603A">
      <w:pPr>
        <w:jc w:val="center"/>
        <w:rPr>
          <w:rFonts w:ascii="Century Gothic" w:eastAsia="Calibri" w:hAnsi="Century Gothic" w:cs="Arial"/>
          <w:sz w:val="24"/>
          <w:szCs w:val="24"/>
        </w:rPr>
      </w:pPr>
      <w:r w:rsidRPr="006A603A">
        <w:rPr>
          <w:rFonts w:ascii="Century Gothic" w:eastAsia="Calibri" w:hAnsi="Century Gothic" w:cs="Arial"/>
          <w:sz w:val="24"/>
          <w:szCs w:val="24"/>
        </w:rPr>
        <w:t>Detecta los procesos de aprendizaje de sus alumnos para favorecer su desarrollo cognitivo y socioemocional.</w:t>
      </w:r>
    </w:p>
    <w:p w14:paraId="0BC5B772" w14:textId="77777777" w:rsidR="006A603A" w:rsidRPr="006A603A" w:rsidRDefault="006A603A" w:rsidP="006A603A">
      <w:pPr>
        <w:jc w:val="center"/>
        <w:rPr>
          <w:rFonts w:ascii="Century Gothic" w:eastAsia="Calibri" w:hAnsi="Century Gothic" w:cs="Arial"/>
          <w:sz w:val="24"/>
          <w:szCs w:val="24"/>
        </w:rPr>
      </w:pPr>
      <w:r w:rsidRPr="006A603A">
        <w:rPr>
          <w:rFonts w:ascii="Century Gothic" w:eastAsia="Calibri" w:hAnsi="Century Gothic" w:cs="Arial"/>
          <w:sz w:val="24"/>
          <w:szCs w:val="24"/>
        </w:rPr>
        <w:t>Aplica el plan y programas de estudio para alcanzar los propósitos educativos y contribuir al pleno desenvolvimiento de las capacidades de sus alumnos.</w:t>
      </w:r>
    </w:p>
    <w:p w14:paraId="3B1B59FF" w14:textId="77777777" w:rsidR="006A603A" w:rsidRPr="006A603A" w:rsidRDefault="006A603A" w:rsidP="006A603A">
      <w:pPr>
        <w:jc w:val="center"/>
        <w:rPr>
          <w:rFonts w:ascii="Century Gothic" w:eastAsia="Calibri" w:hAnsi="Century Gothic" w:cs="Arial"/>
          <w:sz w:val="24"/>
          <w:szCs w:val="24"/>
        </w:rPr>
      </w:pPr>
      <w:r w:rsidRPr="006A603A">
        <w:rPr>
          <w:rFonts w:ascii="Century Gothic" w:eastAsia="Calibri" w:hAnsi="Century Gothic" w:cs="Arial"/>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23584D5A" w14:textId="77777777" w:rsidR="006A603A" w:rsidRPr="006A603A" w:rsidRDefault="006A603A" w:rsidP="006A603A">
      <w:pPr>
        <w:jc w:val="center"/>
        <w:rPr>
          <w:rFonts w:ascii="Century Gothic" w:eastAsia="Calibri" w:hAnsi="Century Gothic" w:cs="Arial"/>
          <w:sz w:val="24"/>
          <w:szCs w:val="24"/>
        </w:rPr>
      </w:pPr>
      <w:r w:rsidRPr="006A603A">
        <w:rPr>
          <w:rFonts w:ascii="Century Gothic" w:eastAsia="Calibri" w:hAnsi="Century Gothic" w:cs="Arial"/>
          <w:sz w:val="24"/>
          <w:szCs w:val="24"/>
        </w:rPr>
        <w:t>Emplea la evaluación para intervenir en los diferentes ámbitos y momentos de la tarea educativa para mejorar los aprendizajes de sus alumnos.</w:t>
      </w:r>
    </w:p>
    <w:p w14:paraId="0D9C34A3" w14:textId="77777777" w:rsidR="006A603A" w:rsidRPr="006A603A" w:rsidRDefault="006A603A" w:rsidP="006A603A">
      <w:pPr>
        <w:jc w:val="center"/>
        <w:rPr>
          <w:rFonts w:ascii="Century Gothic" w:eastAsia="Calibri" w:hAnsi="Century Gothic" w:cs="Arial"/>
          <w:sz w:val="24"/>
          <w:szCs w:val="24"/>
        </w:rPr>
      </w:pPr>
      <w:r w:rsidRPr="006A603A">
        <w:rPr>
          <w:rFonts w:ascii="Century Gothic" w:eastAsia="Calibri" w:hAnsi="Century Gothic" w:cs="Arial"/>
          <w:sz w:val="24"/>
          <w:szCs w:val="24"/>
        </w:rPr>
        <w:t>Integra recursos de la investigación educativa para enriquecer su práctica profesional, expresando su interés por el conocimiento, la ciencia y la mejora de la educación.</w:t>
      </w:r>
    </w:p>
    <w:p w14:paraId="4149A731" w14:textId="77777777" w:rsidR="006A603A" w:rsidRDefault="006A603A" w:rsidP="006A603A">
      <w:pPr>
        <w:jc w:val="center"/>
        <w:rPr>
          <w:rFonts w:ascii="Century Gothic" w:eastAsia="Calibri" w:hAnsi="Century Gothic" w:cs="Arial"/>
          <w:sz w:val="24"/>
          <w:szCs w:val="24"/>
        </w:rPr>
      </w:pPr>
      <w:r w:rsidRPr="006A603A">
        <w:rPr>
          <w:rFonts w:ascii="Century Gothic" w:eastAsia="Calibri" w:hAnsi="Century Gothic" w:cs="Arial"/>
          <w:sz w:val="24"/>
          <w:szCs w:val="24"/>
        </w:rPr>
        <w:t>Actúa de manera ética ante la diversidad de situaciones que se presentan en la práctica profesional.</w:t>
      </w:r>
    </w:p>
    <w:p w14:paraId="753B51BF" w14:textId="77777777" w:rsidR="006A603A" w:rsidRDefault="006A603A" w:rsidP="006A603A">
      <w:pPr>
        <w:jc w:val="center"/>
        <w:rPr>
          <w:rFonts w:ascii="Century Gothic" w:eastAsia="Calibri" w:hAnsi="Century Gothic" w:cs="Arial"/>
          <w:b/>
          <w:bCs/>
          <w:sz w:val="24"/>
          <w:szCs w:val="24"/>
        </w:rPr>
      </w:pPr>
    </w:p>
    <w:p w14:paraId="1244587C" w14:textId="7F623294" w:rsidR="006A603A" w:rsidRPr="006A603A" w:rsidRDefault="006A603A" w:rsidP="006A603A">
      <w:pPr>
        <w:jc w:val="center"/>
        <w:rPr>
          <w:rFonts w:ascii="Century Gothic" w:eastAsia="Calibri" w:hAnsi="Century Gothic" w:cs="Arial"/>
          <w:sz w:val="24"/>
          <w:szCs w:val="24"/>
        </w:rPr>
      </w:pPr>
      <w:r w:rsidRPr="006A603A">
        <w:rPr>
          <w:rFonts w:ascii="Century Gothic" w:eastAsia="Calibri" w:hAnsi="Century Gothic" w:cs="Arial"/>
          <w:b/>
          <w:bCs/>
          <w:sz w:val="24"/>
          <w:szCs w:val="24"/>
        </w:rPr>
        <w:t>Alumna:</w:t>
      </w:r>
      <w:r>
        <w:rPr>
          <w:rFonts w:ascii="Century Gothic" w:eastAsia="Calibri" w:hAnsi="Century Gothic" w:cs="Arial"/>
          <w:sz w:val="24"/>
          <w:szCs w:val="24"/>
        </w:rPr>
        <w:t xml:space="preserve"> </w:t>
      </w:r>
      <w:r w:rsidRPr="006A603A">
        <w:rPr>
          <w:rFonts w:ascii="Century Gothic" w:eastAsia="Calibri" w:hAnsi="Century Gothic" w:cs="Arial"/>
          <w:sz w:val="24"/>
          <w:szCs w:val="24"/>
        </w:rPr>
        <w:t>Sahima Guadalupe Beltrán Balandrán</w:t>
      </w:r>
      <w:r>
        <w:rPr>
          <w:rFonts w:ascii="Century Gothic" w:eastAsia="Calibri" w:hAnsi="Century Gothic" w:cs="Arial"/>
          <w:sz w:val="24"/>
          <w:szCs w:val="24"/>
        </w:rPr>
        <w:t xml:space="preserve"> </w:t>
      </w:r>
      <w:r w:rsidRPr="006A603A">
        <w:rPr>
          <w:rFonts w:ascii="Century Gothic" w:eastAsia="Calibri" w:hAnsi="Century Gothic" w:cs="Arial"/>
          <w:sz w:val="24"/>
          <w:szCs w:val="24"/>
        </w:rPr>
        <w:t>#3</w:t>
      </w:r>
    </w:p>
    <w:p w14:paraId="63035713" w14:textId="77777777" w:rsidR="006A603A" w:rsidRPr="006A603A" w:rsidRDefault="006A603A" w:rsidP="006A603A">
      <w:pPr>
        <w:jc w:val="center"/>
        <w:rPr>
          <w:rFonts w:ascii="Century Gothic" w:hAnsi="Century Gothic"/>
          <w:sz w:val="24"/>
          <w:szCs w:val="24"/>
        </w:rPr>
      </w:pPr>
    </w:p>
    <w:p w14:paraId="12305F6D" w14:textId="77777777" w:rsidR="006A603A" w:rsidRDefault="006A603A" w:rsidP="006A603A">
      <w:pPr>
        <w:jc w:val="center"/>
        <w:rPr>
          <w:rFonts w:ascii="Arial" w:eastAsia="Times New Roman" w:hAnsi="Arial" w:cs="Arial"/>
          <w:color w:val="000000"/>
          <w:sz w:val="24"/>
          <w:szCs w:val="24"/>
          <w:lang w:eastAsia="es-ES"/>
        </w:rPr>
      </w:pPr>
    </w:p>
    <w:p w14:paraId="64C9A52C" w14:textId="63DCB0D2" w:rsidR="006A603A" w:rsidRDefault="006A603A" w:rsidP="006A603A">
      <w:pPr>
        <w:jc w:val="center"/>
        <w:rPr>
          <w:rFonts w:ascii="Century Gothic" w:hAnsi="Century Gothic"/>
          <w:sz w:val="24"/>
          <w:szCs w:val="24"/>
          <w:u w:val="single"/>
        </w:rPr>
      </w:pPr>
      <w:r>
        <w:rPr>
          <w:noProof/>
        </w:rPr>
        <w:lastRenderedPageBreak/>
        <w:drawing>
          <wp:inline distT="0" distB="0" distL="0" distR="0" wp14:anchorId="24786246" wp14:editId="395EE62E">
            <wp:extent cx="5306165" cy="2972215"/>
            <wp:effectExtent l="0" t="0" r="0"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5">
                      <a:extLst>
                        <a:ext uri="{28A0092B-C50C-407E-A947-70E740481C1C}">
                          <a14:useLocalDpi xmlns:a14="http://schemas.microsoft.com/office/drawing/2010/main" val="0"/>
                        </a:ext>
                      </a:extLst>
                    </a:blip>
                    <a:stretch>
                      <a:fillRect/>
                    </a:stretch>
                  </pic:blipFill>
                  <pic:spPr>
                    <a:xfrm>
                      <a:off x="0" y="0"/>
                      <a:ext cx="5306165" cy="2972215"/>
                    </a:xfrm>
                    <a:prstGeom prst="rect">
                      <a:avLst/>
                    </a:prstGeom>
                  </pic:spPr>
                </pic:pic>
              </a:graphicData>
            </a:graphic>
          </wp:inline>
        </w:drawing>
      </w:r>
    </w:p>
    <w:p w14:paraId="65FA05F3" w14:textId="26D27B40" w:rsidR="006A603A" w:rsidRPr="00F574CF" w:rsidRDefault="006A603A" w:rsidP="00F574CF">
      <w:pPr>
        <w:jc w:val="both"/>
        <w:rPr>
          <w:rFonts w:ascii="Century Gothic" w:hAnsi="Century Gothic"/>
          <w:sz w:val="24"/>
          <w:szCs w:val="24"/>
        </w:rPr>
      </w:pPr>
    </w:p>
    <w:p w14:paraId="2B985BFF" w14:textId="2CF40BF7" w:rsidR="006A603A" w:rsidRPr="00F574CF" w:rsidRDefault="006A603A" w:rsidP="00F574CF">
      <w:pPr>
        <w:jc w:val="both"/>
        <w:rPr>
          <w:rFonts w:ascii="Century Gothic" w:hAnsi="Century Gothic" w:cs="Open Sans"/>
          <w:color w:val="000000"/>
          <w:spacing w:val="2"/>
          <w:sz w:val="24"/>
          <w:szCs w:val="24"/>
          <w:shd w:val="clear" w:color="auto" w:fill="F4F4F4"/>
        </w:rPr>
      </w:pPr>
      <w:r w:rsidRPr="00F574CF">
        <w:rPr>
          <w:rFonts w:ascii="Century Gothic" w:hAnsi="Century Gothic" w:cs="Open Sans"/>
          <w:color w:val="000000"/>
          <w:spacing w:val="2"/>
          <w:sz w:val="24"/>
          <w:szCs w:val="24"/>
          <w:shd w:val="clear" w:color="auto" w:fill="F4F4F4"/>
        </w:rPr>
        <w:t> </w:t>
      </w:r>
      <w:r w:rsidR="00F574CF">
        <w:rPr>
          <w:rFonts w:ascii="Century Gothic" w:hAnsi="Century Gothic" w:cs="Open Sans"/>
          <w:color w:val="000000"/>
          <w:spacing w:val="2"/>
          <w:sz w:val="24"/>
          <w:szCs w:val="24"/>
          <w:shd w:val="clear" w:color="auto" w:fill="F4F4F4"/>
        </w:rPr>
        <w:t>-</w:t>
      </w:r>
      <w:r w:rsidR="00F574CF" w:rsidRPr="00F574CF">
        <w:rPr>
          <w:rFonts w:ascii="Century Gothic" w:hAnsi="Century Gothic" w:cs="Open Sans"/>
          <w:color w:val="000000"/>
          <w:spacing w:val="2"/>
          <w:sz w:val="24"/>
          <w:szCs w:val="24"/>
          <w:shd w:val="clear" w:color="auto" w:fill="F4F4F4"/>
        </w:rPr>
        <w:t xml:space="preserve"> “</w:t>
      </w:r>
      <w:r w:rsidRPr="00F574CF">
        <w:rPr>
          <w:rFonts w:ascii="Century Gothic" w:hAnsi="Century Gothic" w:cs="Open Sans"/>
          <w:color w:val="000000"/>
          <w:spacing w:val="2"/>
          <w:sz w:val="24"/>
          <w:szCs w:val="24"/>
          <w:shd w:val="clear" w:color="auto" w:fill="F4F4F4"/>
        </w:rPr>
        <w:t xml:space="preserve">Hay una generación de chicos agotados, que además están confundiendo saber con saber buscar”, afirma. De lo que se trata es de que </w:t>
      </w:r>
      <w:r w:rsidR="00F574CF" w:rsidRPr="00F574CF">
        <w:rPr>
          <w:rFonts w:ascii="Century Gothic" w:hAnsi="Century Gothic" w:cs="Open Sans"/>
          <w:color w:val="000000"/>
          <w:spacing w:val="2"/>
          <w:sz w:val="24"/>
          <w:szCs w:val="24"/>
          <w:shd w:val="clear" w:color="auto" w:fill="F4F4F4"/>
        </w:rPr>
        <w:t>niños</w:t>
      </w:r>
      <w:r w:rsidRPr="00F574CF">
        <w:rPr>
          <w:rFonts w:ascii="Century Gothic" w:hAnsi="Century Gothic" w:cs="Open Sans"/>
          <w:color w:val="000000"/>
          <w:spacing w:val="2"/>
          <w:sz w:val="24"/>
          <w:szCs w:val="24"/>
          <w:shd w:val="clear" w:color="auto" w:fill="F4F4F4"/>
        </w:rPr>
        <w:t xml:space="preserve"> puedan vivir la infancia sin las urgencias adultas.</w:t>
      </w:r>
    </w:p>
    <w:p w14:paraId="4AFB0334" w14:textId="24C5E36E" w:rsidR="00497E54" w:rsidRPr="00F574CF" w:rsidRDefault="00497E54" w:rsidP="00F574CF">
      <w:pPr>
        <w:pStyle w:val="NormalWeb"/>
        <w:shd w:val="clear" w:color="auto" w:fill="F4F4F4"/>
        <w:spacing w:before="0" w:beforeAutospacing="0" w:after="300" w:afterAutospacing="0"/>
        <w:jc w:val="both"/>
        <w:rPr>
          <w:rFonts w:ascii="Century Gothic" w:hAnsi="Century Gothic" w:cs="Open Sans"/>
          <w:color w:val="000000"/>
          <w:spacing w:val="2"/>
          <w:shd w:val="clear" w:color="auto" w:fill="F4F4F4"/>
        </w:rPr>
      </w:pPr>
      <w:r w:rsidRPr="00F574CF">
        <w:rPr>
          <w:rFonts w:ascii="Century Gothic" w:hAnsi="Century Gothic" w:cs="Open Sans"/>
          <w:color w:val="000000"/>
          <w:spacing w:val="2"/>
          <w:shd w:val="clear" w:color="auto" w:fill="F4F4F4"/>
        </w:rPr>
        <w:t> </w:t>
      </w:r>
      <w:r w:rsidRPr="00F574CF">
        <w:rPr>
          <w:rFonts w:ascii="Century Gothic" w:hAnsi="Century Gothic" w:cs="Open Sans"/>
          <w:color w:val="000000"/>
          <w:spacing w:val="2"/>
          <w:shd w:val="clear" w:color="auto" w:fill="F4F4F4"/>
        </w:rPr>
        <w:t>-H</w:t>
      </w:r>
      <w:r w:rsidRPr="00F574CF">
        <w:rPr>
          <w:rFonts w:ascii="Century Gothic" w:hAnsi="Century Gothic" w:cs="Open Sans"/>
          <w:color w:val="000000"/>
          <w:spacing w:val="2"/>
          <w:shd w:val="clear" w:color="auto" w:fill="F4F4F4"/>
        </w:rPr>
        <w:t xml:space="preserve">ay que cuidar la vida de la infancia y no arrojarlos al mercado inmediatamente ni con todos los predecesores del mercado, el conocimiento lucrativo, la </w:t>
      </w:r>
      <w:proofErr w:type="spellStart"/>
      <w:r w:rsidRPr="00F574CF">
        <w:rPr>
          <w:rFonts w:ascii="Century Gothic" w:hAnsi="Century Gothic" w:cs="Open Sans"/>
          <w:color w:val="000000"/>
          <w:spacing w:val="2"/>
          <w:shd w:val="clear" w:color="auto" w:fill="F4F4F4"/>
        </w:rPr>
        <w:t>hipertecnología</w:t>
      </w:r>
      <w:proofErr w:type="spellEnd"/>
      <w:r w:rsidRPr="00F574CF">
        <w:rPr>
          <w:rFonts w:ascii="Century Gothic" w:hAnsi="Century Gothic" w:cs="Open Sans"/>
          <w:color w:val="000000"/>
          <w:spacing w:val="2"/>
          <w:shd w:val="clear" w:color="auto" w:fill="F4F4F4"/>
        </w:rPr>
        <w:t>, sino cuidarlos de todo eso.</w:t>
      </w:r>
    </w:p>
    <w:p w14:paraId="56B2BF03" w14:textId="7F982B1E" w:rsidR="00497E54" w:rsidRPr="00F574CF" w:rsidRDefault="00497E54" w:rsidP="00F574CF">
      <w:pPr>
        <w:pStyle w:val="NormalWeb"/>
        <w:shd w:val="clear" w:color="auto" w:fill="F4F4F4"/>
        <w:spacing w:before="0" w:beforeAutospacing="0" w:after="300" w:afterAutospacing="0"/>
        <w:jc w:val="both"/>
        <w:rPr>
          <w:rFonts w:ascii="Century Gothic" w:hAnsi="Century Gothic" w:cs="Open Sans"/>
          <w:color w:val="000000"/>
          <w:spacing w:val="2"/>
          <w:shd w:val="clear" w:color="auto" w:fill="F4F4F4"/>
        </w:rPr>
      </w:pPr>
      <w:r w:rsidRPr="00F574CF">
        <w:rPr>
          <w:rFonts w:ascii="Century Gothic" w:hAnsi="Century Gothic" w:cs="Open Sans"/>
          <w:color w:val="000000"/>
          <w:spacing w:val="2"/>
          <w:shd w:val="clear" w:color="auto" w:fill="F4F4F4"/>
        </w:rPr>
        <w:t>-</w:t>
      </w:r>
      <w:r w:rsidRPr="00F574CF">
        <w:rPr>
          <w:rFonts w:ascii="Century Gothic" w:hAnsi="Century Gothic" w:cs="Open Sans"/>
          <w:color w:val="000000"/>
          <w:spacing w:val="2"/>
          <w:shd w:val="clear" w:color="auto" w:fill="F4F4F4"/>
        </w:rPr>
        <w:t> </w:t>
      </w:r>
      <w:r w:rsidR="00F574CF">
        <w:rPr>
          <w:rFonts w:ascii="Century Gothic" w:hAnsi="Century Gothic" w:cs="Open Sans"/>
          <w:color w:val="000000"/>
          <w:spacing w:val="2"/>
          <w:shd w:val="clear" w:color="auto" w:fill="F4F4F4"/>
        </w:rPr>
        <w:t>L</w:t>
      </w:r>
      <w:r w:rsidRPr="00F574CF">
        <w:rPr>
          <w:rFonts w:ascii="Century Gothic" w:hAnsi="Century Gothic" w:cs="Open Sans"/>
          <w:color w:val="000000"/>
          <w:spacing w:val="2"/>
          <w:shd w:val="clear" w:color="auto" w:fill="F4F4F4"/>
        </w:rPr>
        <w:t>a infancia es un tiempo único que hay que sostenerlo a rajatabla, y si la niñez no tiene tiempo de infancia, no hay futuro de humanidad.</w:t>
      </w:r>
    </w:p>
    <w:p w14:paraId="1C32C8A9" w14:textId="5292DBF1" w:rsidR="00497E54" w:rsidRPr="00F574CF" w:rsidRDefault="00497E54" w:rsidP="00F574CF">
      <w:pPr>
        <w:pStyle w:val="NormalWeb"/>
        <w:shd w:val="clear" w:color="auto" w:fill="F4F4F4"/>
        <w:spacing w:before="0" w:beforeAutospacing="0" w:after="300" w:afterAutospacing="0"/>
        <w:jc w:val="both"/>
        <w:rPr>
          <w:rFonts w:ascii="Century Gothic" w:hAnsi="Century Gothic" w:cs="Open Sans"/>
          <w:color w:val="000000"/>
          <w:spacing w:val="2"/>
          <w:shd w:val="clear" w:color="auto" w:fill="F4F4F4"/>
        </w:rPr>
      </w:pPr>
      <w:r w:rsidRPr="00F574CF">
        <w:rPr>
          <w:rFonts w:ascii="Century Gothic" w:hAnsi="Century Gothic" w:cs="Open Sans"/>
          <w:color w:val="000000"/>
          <w:spacing w:val="2"/>
          <w:shd w:val="clear" w:color="auto" w:fill="F4F4F4"/>
        </w:rPr>
        <w:t>-</w:t>
      </w:r>
      <w:r w:rsidRPr="00F574CF">
        <w:rPr>
          <w:rFonts w:ascii="Century Gothic" w:hAnsi="Century Gothic" w:cs="Open Sans"/>
          <w:color w:val="000000"/>
          <w:spacing w:val="2"/>
          <w:shd w:val="clear" w:color="auto" w:fill="F4F4F4"/>
        </w:rPr>
        <w:t>Yo creo que la educación no puede servir para eso, creo que puede reconstruirse en base a la idea de una educación para la vida y no tanto para ese mercado.</w:t>
      </w:r>
    </w:p>
    <w:p w14:paraId="670C9646" w14:textId="7658A84A" w:rsidR="00497E54" w:rsidRPr="00F574CF" w:rsidRDefault="00497E54" w:rsidP="00F574CF">
      <w:pPr>
        <w:pStyle w:val="NormalWeb"/>
        <w:shd w:val="clear" w:color="auto" w:fill="F4F4F4"/>
        <w:spacing w:before="0" w:beforeAutospacing="0" w:after="300" w:afterAutospacing="0"/>
        <w:jc w:val="both"/>
        <w:rPr>
          <w:rFonts w:ascii="Century Gothic" w:hAnsi="Century Gothic" w:cs="Open Sans"/>
          <w:color w:val="000000"/>
          <w:spacing w:val="2"/>
          <w:shd w:val="clear" w:color="auto" w:fill="F4F4F4"/>
        </w:rPr>
      </w:pPr>
      <w:r w:rsidRPr="00F574CF">
        <w:rPr>
          <w:rFonts w:ascii="Century Gothic" w:hAnsi="Century Gothic" w:cs="Open Sans"/>
          <w:color w:val="000000"/>
          <w:spacing w:val="2"/>
          <w:shd w:val="clear" w:color="auto" w:fill="F4F4F4"/>
        </w:rPr>
        <w:t>-</w:t>
      </w:r>
      <w:r w:rsidRPr="00F574CF">
        <w:rPr>
          <w:rFonts w:ascii="Century Gothic" w:hAnsi="Century Gothic" w:cs="Open Sans"/>
          <w:color w:val="000000"/>
          <w:spacing w:val="2"/>
          <w:shd w:val="clear" w:color="auto" w:fill="F4F4F4"/>
        </w:rPr>
        <w:t>En vez de ser transparente con el mundo, con ese mundo horroroso, crear nuevas posibilidades. Yo pienso que la educación pública da una segunda oportunidad para otra vida. Que otra vida produzca otro mundo, sin dudas, y no al revés. Este mundo no va a producir mejores vidas, y ya lo sabemos.</w:t>
      </w:r>
    </w:p>
    <w:p w14:paraId="423D0B28" w14:textId="53A98F0A" w:rsidR="00497E54" w:rsidRPr="00F574CF" w:rsidRDefault="00497E54" w:rsidP="00F574CF">
      <w:pPr>
        <w:pStyle w:val="NormalWeb"/>
        <w:shd w:val="clear" w:color="auto" w:fill="F4F4F4"/>
        <w:spacing w:before="0" w:beforeAutospacing="0" w:after="300" w:afterAutospacing="0"/>
        <w:jc w:val="both"/>
        <w:rPr>
          <w:rFonts w:ascii="Century Gothic" w:hAnsi="Century Gothic" w:cs="Open Sans"/>
          <w:color w:val="000000"/>
          <w:spacing w:val="2"/>
          <w:shd w:val="clear" w:color="auto" w:fill="F4F4F4"/>
        </w:rPr>
      </w:pPr>
      <w:r w:rsidRPr="00F574CF">
        <w:rPr>
          <w:rFonts w:ascii="Century Gothic" w:hAnsi="Century Gothic" w:cs="Open Sans"/>
          <w:color w:val="000000"/>
          <w:spacing w:val="2"/>
          <w:shd w:val="clear" w:color="auto" w:fill="F4F4F4"/>
        </w:rPr>
        <w:t>-</w:t>
      </w:r>
      <w:r w:rsidRPr="00F574CF">
        <w:rPr>
          <w:rFonts w:ascii="Century Gothic" w:hAnsi="Century Gothic" w:cs="Open Sans"/>
          <w:color w:val="000000"/>
          <w:spacing w:val="2"/>
          <w:shd w:val="clear" w:color="auto" w:fill="F4F4F4"/>
        </w:rPr>
        <w:t>disponer que las escuelas públicas sean esos espacios de libertad en el sentido de que formen no para el mercado, no para el trabajo con el sentido clásico de la palabra, sino otra vez para la lectura, el silencio, la soledad, el juego, el arte, la comunidad y la conversación. </w:t>
      </w:r>
    </w:p>
    <w:p w14:paraId="2AE160DB" w14:textId="189D657A" w:rsidR="00497E54" w:rsidRPr="00F574CF" w:rsidRDefault="00497E54" w:rsidP="00F574CF">
      <w:pPr>
        <w:pStyle w:val="NormalWeb"/>
        <w:shd w:val="clear" w:color="auto" w:fill="F4F4F4"/>
        <w:spacing w:before="0" w:beforeAutospacing="0" w:after="300" w:afterAutospacing="0"/>
        <w:jc w:val="both"/>
        <w:rPr>
          <w:rFonts w:ascii="Century Gothic" w:hAnsi="Century Gothic" w:cs="Open Sans"/>
          <w:color w:val="000000"/>
          <w:spacing w:val="2"/>
          <w:shd w:val="clear" w:color="auto" w:fill="F4F4F4"/>
        </w:rPr>
      </w:pPr>
      <w:r w:rsidRPr="00F574CF">
        <w:rPr>
          <w:rFonts w:ascii="Century Gothic" w:hAnsi="Century Gothic" w:cs="Open Sans"/>
          <w:color w:val="000000"/>
          <w:spacing w:val="2"/>
          <w:shd w:val="clear" w:color="auto" w:fill="F4F4F4"/>
        </w:rPr>
        <w:t>-</w:t>
      </w:r>
      <w:r w:rsidRPr="00F574CF">
        <w:rPr>
          <w:rFonts w:ascii="Century Gothic" w:hAnsi="Century Gothic" w:cs="Open Sans"/>
          <w:color w:val="000000"/>
          <w:spacing w:val="2"/>
          <w:shd w:val="clear" w:color="auto" w:fill="F4F4F4"/>
        </w:rPr>
        <w:t>Yo creo que hoy vale más un maestro que esté apasionado con algo y que pueda transmitir ese vínculo de pasión, que cualquier otro carácter vocacional ambiguo como “querer a los niños”. </w:t>
      </w:r>
    </w:p>
    <w:p w14:paraId="694AC3DF" w14:textId="7A6496EA" w:rsidR="00497E54" w:rsidRPr="00F574CF" w:rsidRDefault="00497E54" w:rsidP="00F574CF">
      <w:pPr>
        <w:pStyle w:val="NormalWeb"/>
        <w:shd w:val="clear" w:color="auto" w:fill="F4F4F4"/>
        <w:spacing w:before="0" w:beforeAutospacing="0" w:after="300" w:afterAutospacing="0"/>
        <w:jc w:val="both"/>
        <w:rPr>
          <w:rFonts w:ascii="Century Gothic" w:hAnsi="Century Gothic" w:cs="Open Sans"/>
          <w:color w:val="000000"/>
          <w:spacing w:val="2"/>
          <w:shd w:val="clear" w:color="auto" w:fill="F4F4F4"/>
        </w:rPr>
      </w:pPr>
      <w:r w:rsidRPr="00F574CF">
        <w:rPr>
          <w:rFonts w:ascii="Century Gothic" w:hAnsi="Century Gothic" w:cs="Open Sans"/>
          <w:color w:val="000000"/>
          <w:spacing w:val="2"/>
          <w:shd w:val="clear" w:color="auto" w:fill="F4F4F4"/>
        </w:rPr>
        <w:t>-</w:t>
      </w:r>
      <w:r w:rsidRPr="00F574CF">
        <w:rPr>
          <w:rFonts w:ascii="Century Gothic" w:hAnsi="Century Gothic" w:cs="Open Sans"/>
          <w:color w:val="000000"/>
          <w:spacing w:val="2"/>
          <w:shd w:val="clear" w:color="auto" w:fill="F4F4F4"/>
        </w:rPr>
        <w:t> </w:t>
      </w:r>
      <w:r w:rsidR="00F574CF">
        <w:rPr>
          <w:rFonts w:ascii="Century Gothic" w:hAnsi="Century Gothic" w:cs="Open Sans"/>
          <w:color w:val="000000"/>
          <w:spacing w:val="2"/>
          <w:shd w:val="clear" w:color="auto" w:fill="F4F4F4"/>
        </w:rPr>
        <w:t>L</w:t>
      </w:r>
      <w:r w:rsidRPr="00F574CF">
        <w:rPr>
          <w:rFonts w:ascii="Century Gothic" w:hAnsi="Century Gothic" w:cs="Open Sans"/>
          <w:color w:val="000000"/>
          <w:spacing w:val="2"/>
          <w:shd w:val="clear" w:color="auto" w:fill="F4F4F4"/>
        </w:rPr>
        <w:t xml:space="preserve">a escuela no es continuidad de familia, yo creo en ese corte, porque es la salida al mundo de verdad, pero no al mundo del mercado, el mundo de verdad quiere decir al encuentro con la inmensa variación de lo humano, con ver que hay miles de vidas disponibles, con ver que hay formas de estar en el mundo y de hacer el </w:t>
      </w:r>
      <w:r w:rsidR="00F574CF" w:rsidRPr="00F574CF">
        <w:rPr>
          <w:rFonts w:ascii="Century Gothic" w:hAnsi="Century Gothic" w:cs="Open Sans"/>
          <w:color w:val="000000"/>
          <w:spacing w:val="2"/>
          <w:shd w:val="clear" w:color="auto" w:fill="F4F4F4"/>
        </w:rPr>
        <w:t>mundo completamente diferente</w:t>
      </w:r>
      <w:r w:rsidRPr="00F574CF">
        <w:rPr>
          <w:rFonts w:ascii="Century Gothic" w:hAnsi="Century Gothic" w:cs="Open Sans"/>
          <w:color w:val="000000"/>
          <w:spacing w:val="2"/>
          <w:shd w:val="clear" w:color="auto" w:fill="F4F4F4"/>
        </w:rPr>
        <w:t>. </w:t>
      </w:r>
    </w:p>
    <w:p w14:paraId="56DEF178" w14:textId="36D30CA3" w:rsidR="00497E54" w:rsidRPr="00F574CF" w:rsidRDefault="00497E54" w:rsidP="00F574CF">
      <w:pPr>
        <w:pStyle w:val="NormalWeb"/>
        <w:shd w:val="clear" w:color="auto" w:fill="F4F4F4"/>
        <w:spacing w:before="0" w:beforeAutospacing="0" w:after="300" w:afterAutospacing="0"/>
        <w:jc w:val="both"/>
        <w:rPr>
          <w:rFonts w:ascii="Century Gothic" w:hAnsi="Century Gothic" w:cs="Open Sans"/>
          <w:color w:val="000000"/>
          <w:spacing w:val="2"/>
          <w:shd w:val="clear" w:color="auto" w:fill="F4F4F4"/>
        </w:rPr>
      </w:pPr>
      <w:r w:rsidRPr="00F574CF">
        <w:rPr>
          <w:rFonts w:ascii="Century Gothic" w:hAnsi="Century Gothic" w:cs="Open Sans"/>
          <w:color w:val="000000"/>
          <w:spacing w:val="2"/>
          <w:shd w:val="clear" w:color="auto" w:fill="F4F4F4"/>
        </w:rPr>
        <w:t>–Por lo que escuchamos, por lo que recordamos de nosotros mismos, evidentemente no vamos a la escuela a trabajar, a agotarnos de tareas. Vamos al único momento y casi el último que habrá en la vida de tener tiempo libre. Y tiempo libre quiere decir tiempo liberado de la responsabilidad de la vida adulta, tiempo apartado, tiempo en suspenso, tiempo detenido, tiempo parado, un tiempo inútil.</w:t>
      </w:r>
    </w:p>
    <w:p w14:paraId="5998A6F3" w14:textId="2F7C3520" w:rsidR="00497E54" w:rsidRPr="00F574CF" w:rsidRDefault="00497E54" w:rsidP="00F574CF">
      <w:pPr>
        <w:pStyle w:val="NormalWeb"/>
        <w:shd w:val="clear" w:color="auto" w:fill="F4F4F4"/>
        <w:spacing w:before="0" w:beforeAutospacing="0" w:after="300" w:afterAutospacing="0"/>
        <w:jc w:val="both"/>
        <w:rPr>
          <w:rFonts w:ascii="Century Gothic" w:hAnsi="Century Gothic" w:cs="Open Sans"/>
          <w:color w:val="000000"/>
          <w:spacing w:val="2"/>
          <w:shd w:val="clear" w:color="auto" w:fill="F4F4F4"/>
        </w:rPr>
      </w:pPr>
      <w:r w:rsidRPr="00F574CF">
        <w:rPr>
          <w:rFonts w:ascii="Century Gothic" w:hAnsi="Century Gothic" w:cs="Open Sans"/>
          <w:color w:val="000000"/>
          <w:spacing w:val="2"/>
          <w:shd w:val="clear" w:color="auto" w:fill="F4F4F4"/>
        </w:rPr>
        <w:t>-</w:t>
      </w:r>
      <w:r w:rsidRPr="00F574CF">
        <w:rPr>
          <w:rFonts w:ascii="Century Gothic" w:hAnsi="Century Gothic" w:cs="Open Sans"/>
          <w:color w:val="000000"/>
          <w:spacing w:val="2"/>
          <w:shd w:val="clear" w:color="auto" w:fill="F4F4F4"/>
        </w:rPr>
        <w:t>Yo creo que este es un momento crucial para volver a instalar la polémica sobre si la escuela es aliada del tiempo libre o del tiempo de trabajo, y en esa alianza ver qué tipo de construcción o de destrucción se está produciendo en la niñez. De lo que se trata es de liberar a las escuelas de la responsabilidad del mundo adulto.</w:t>
      </w:r>
    </w:p>
    <w:p w14:paraId="4B0EDA1A" w14:textId="7FFE7A87" w:rsidR="00497E54" w:rsidRPr="00F574CF" w:rsidRDefault="00497E54" w:rsidP="00F574CF">
      <w:pPr>
        <w:pStyle w:val="NormalWeb"/>
        <w:shd w:val="clear" w:color="auto" w:fill="F4F4F4"/>
        <w:spacing w:before="0" w:beforeAutospacing="0" w:after="300" w:afterAutospacing="0"/>
        <w:jc w:val="both"/>
        <w:rPr>
          <w:rFonts w:ascii="Century Gothic" w:hAnsi="Century Gothic" w:cs="Open Sans"/>
          <w:color w:val="000000"/>
          <w:spacing w:val="2"/>
          <w:shd w:val="clear" w:color="auto" w:fill="F4F4F4"/>
        </w:rPr>
      </w:pPr>
      <w:r w:rsidRPr="00F574CF">
        <w:rPr>
          <w:rFonts w:ascii="Century Gothic" w:hAnsi="Century Gothic" w:cs="Open Sans"/>
          <w:color w:val="000000"/>
          <w:spacing w:val="2"/>
          <w:shd w:val="clear" w:color="auto" w:fill="F4F4F4"/>
        </w:rPr>
        <w:t>-</w:t>
      </w:r>
      <w:r w:rsidRPr="00F574CF">
        <w:rPr>
          <w:rFonts w:ascii="Century Gothic" w:hAnsi="Century Gothic" w:cs="Open Sans"/>
          <w:color w:val="000000"/>
          <w:spacing w:val="2"/>
          <w:shd w:val="clear" w:color="auto" w:fill="F4F4F4"/>
        </w:rPr>
        <w:t>Docente y alumno prácticamente han creado una fusión de identidad y de semejanza, porque prácticamente hacen lo mismo, de la misma manera y con la misma apariencia.</w:t>
      </w:r>
    </w:p>
    <w:p w14:paraId="7500A27D" w14:textId="47D09265" w:rsidR="00F574CF" w:rsidRPr="00F574CF" w:rsidRDefault="00F574CF" w:rsidP="00F574CF">
      <w:pPr>
        <w:pStyle w:val="NormalWeb"/>
        <w:shd w:val="clear" w:color="auto" w:fill="F4F4F4"/>
        <w:spacing w:before="0" w:beforeAutospacing="0" w:after="300" w:afterAutospacing="0"/>
        <w:jc w:val="both"/>
        <w:rPr>
          <w:rFonts w:ascii="Century Gothic" w:hAnsi="Century Gothic" w:cs="Open Sans"/>
          <w:color w:val="000000"/>
          <w:spacing w:val="2"/>
          <w:shd w:val="clear" w:color="auto" w:fill="F4F4F4"/>
        </w:rPr>
      </w:pPr>
      <w:r w:rsidRPr="00F574CF">
        <w:rPr>
          <w:rFonts w:ascii="Century Gothic" w:hAnsi="Century Gothic" w:cs="Open Sans"/>
          <w:color w:val="000000"/>
          <w:spacing w:val="2"/>
          <w:shd w:val="clear" w:color="auto" w:fill="F4F4F4"/>
        </w:rPr>
        <w:t>-</w:t>
      </w:r>
      <w:r>
        <w:rPr>
          <w:rFonts w:ascii="Century Gothic" w:hAnsi="Century Gothic" w:cs="Open Sans"/>
          <w:color w:val="000000"/>
          <w:spacing w:val="2"/>
          <w:shd w:val="clear" w:color="auto" w:fill="F4F4F4"/>
        </w:rPr>
        <w:t>L</w:t>
      </w:r>
      <w:r w:rsidRPr="00F574CF">
        <w:rPr>
          <w:rFonts w:ascii="Century Gothic" w:hAnsi="Century Gothic" w:cs="Open Sans"/>
          <w:color w:val="000000"/>
          <w:spacing w:val="2"/>
          <w:shd w:val="clear" w:color="auto" w:fill="F4F4F4"/>
        </w:rPr>
        <w:t xml:space="preserve">o dice el coreano </w:t>
      </w:r>
      <w:proofErr w:type="spellStart"/>
      <w:r w:rsidRPr="00F574CF">
        <w:rPr>
          <w:rFonts w:ascii="Century Gothic" w:hAnsi="Century Gothic" w:cs="Open Sans"/>
          <w:color w:val="000000"/>
          <w:spacing w:val="2"/>
          <w:shd w:val="clear" w:color="auto" w:fill="F4F4F4"/>
        </w:rPr>
        <w:t>Byung-Chul</w:t>
      </w:r>
      <w:proofErr w:type="spellEnd"/>
      <w:r w:rsidRPr="00F574CF">
        <w:rPr>
          <w:rFonts w:ascii="Century Gothic" w:hAnsi="Century Gothic" w:cs="Open Sans"/>
          <w:color w:val="000000"/>
          <w:spacing w:val="2"/>
          <w:shd w:val="clear" w:color="auto" w:fill="F4F4F4"/>
        </w:rPr>
        <w:t xml:space="preserve"> Han: te morís de cansancio y luego te morís de muerte, y para colmo te piden que pongas cara de felicidad. Ahora, ¿la escuela tiene que repetir exactamente esa voluntad? Si la escuela entra en ese juego y se vuelve totalmente transparente a la época, ya no habrá ningún espacio donde respirar, y todo será idéntico a esta idea de época.</w:t>
      </w:r>
    </w:p>
    <w:p w14:paraId="7722EDAF" w14:textId="26D64D9E" w:rsidR="00F574CF" w:rsidRPr="00F574CF" w:rsidRDefault="00F574CF" w:rsidP="00F574CF">
      <w:pPr>
        <w:pStyle w:val="NormalWeb"/>
        <w:shd w:val="clear" w:color="auto" w:fill="F4F4F4"/>
        <w:spacing w:before="0" w:beforeAutospacing="0" w:after="300" w:afterAutospacing="0"/>
        <w:jc w:val="both"/>
        <w:rPr>
          <w:rFonts w:ascii="Century Gothic" w:hAnsi="Century Gothic" w:cs="Open Sans"/>
          <w:color w:val="000000"/>
          <w:spacing w:val="2"/>
        </w:rPr>
      </w:pPr>
      <w:r w:rsidRPr="00F574CF">
        <w:rPr>
          <w:rFonts w:ascii="Century Gothic" w:hAnsi="Century Gothic" w:cs="Open Sans"/>
          <w:color w:val="000000"/>
          <w:spacing w:val="2"/>
          <w:shd w:val="clear" w:color="auto" w:fill="F4F4F4"/>
        </w:rPr>
        <w:t>-</w:t>
      </w:r>
      <w:r w:rsidRPr="00F574CF">
        <w:rPr>
          <w:rFonts w:ascii="Century Gothic" w:hAnsi="Century Gothic" w:cs="Open Sans"/>
          <w:color w:val="000000"/>
          <w:spacing w:val="2"/>
          <w:shd w:val="clear" w:color="auto" w:fill="F4F4F4"/>
        </w:rPr>
        <w:t>Y por lo tanto planificar las formas del estar también es un modo ético y político de hacer educación. Al fin y al cabo, entre el estar y el hacer se jugará después el quiénes somos, y no al revés. No se puede ir por la identidad en educación. La identidad siempre se va a construir, siempre va a cambiar, es móvil, muta. Pero la escuela es un lugar para estar y para hacer, y no tanto para “ser alguien en la vida”.</w:t>
      </w:r>
    </w:p>
    <w:p w14:paraId="045FE503" w14:textId="05A83E33" w:rsidR="006A603A" w:rsidRPr="00F574CF" w:rsidRDefault="006A603A" w:rsidP="00F574CF">
      <w:pPr>
        <w:jc w:val="both"/>
        <w:rPr>
          <w:rFonts w:ascii="Century Gothic" w:hAnsi="Century Gothic"/>
          <w:sz w:val="24"/>
          <w:szCs w:val="24"/>
        </w:rPr>
      </w:pPr>
    </w:p>
    <w:p w14:paraId="2266E845" w14:textId="77777777" w:rsidR="006A603A" w:rsidRPr="00F574CF" w:rsidRDefault="006A603A" w:rsidP="00F574CF">
      <w:pPr>
        <w:jc w:val="both"/>
        <w:rPr>
          <w:rFonts w:ascii="Century Gothic" w:hAnsi="Century Gothic"/>
          <w:sz w:val="24"/>
          <w:szCs w:val="24"/>
        </w:rPr>
      </w:pPr>
    </w:p>
    <w:sectPr w:rsidR="006A603A" w:rsidRPr="00F574CF" w:rsidSect="00F574CF">
      <w:pgSz w:w="11906" w:h="16838"/>
      <w:pgMar w:top="1417" w:right="1701" w:bottom="1417" w:left="1701" w:header="708" w:footer="708" w:gutter="0"/>
      <w:pgBorders w:offsetFrom="page">
        <w:top w:val="creaturesLadyBug" w:sz="28" w:space="24" w:color="auto"/>
        <w:left w:val="creaturesLadyBug" w:sz="28" w:space="24" w:color="auto"/>
        <w:bottom w:val="creaturesLadyBug" w:sz="28" w:space="24" w:color="auto"/>
        <w:right w:val="creaturesLadyBug" w:sz="2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03A"/>
    <w:rsid w:val="00497E54"/>
    <w:rsid w:val="006A603A"/>
    <w:rsid w:val="00F574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E92CB"/>
  <w15:chartTrackingRefBased/>
  <w15:docId w15:val="{F2E0A872-EBE1-47A6-949A-D8F698991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basedOn w:val="Normal"/>
    <w:rsid w:val="006A603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6A603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6A60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21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tmp"/><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737</Words>
  <Characters>4056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Sahima Beltran</dc:creator>
  <cp:keywords/>
  <dc:description/>
  <cp:lastModifiedBy>Sahima Beltran</cp:lastModifiedBy>
  <cp:revision>1</cp:revision>
  <dcterms:created xsi:type="dcterms:W3CDTF">2021-05-26T18:59:00Z</dcterms:created>
  <dcterms:modified xsi:type="dcterms:W3CDTF">2021-05-26T19:25:00Z</dcterms:modified>
</cp:coreProperties>
</file>