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12F3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9264" behindDoc="1" locked="0" layoutInCell="1" allowOverlap="1" wp14:anchorId="4DE3CAF7" wp14:editId="36EE4E2E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3C01B697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28C68F2E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646FA6C2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Maestra: </w:t>
      </w:r>
      <w:r>
        <w:rPr>
          <w:rStyle w:val="Ninguno"/>
          <w:rFonts w:ascii="Arial" w:hAnsi="Arial"/>
          <w:bCs/>
        </w:rPr>
        <w:t>Cristina Isela Valenzuela Escalera</w:t>
      </w:r>
    </w:p>
    <w:p w14:paraId="2A5D5285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III. Las magnitudes y medidas, su enseñanza y aprendizaje en el plan y programa de estudios de educación preescolar</w:t>
      </w:r>
    </w:p>
    <w:p w14:paraId="59337D53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>
        <w:rPr>
          <w:rStyle w:val="Ninguno"/>
          <w:rFonts w:ascii="Arial" w:hAnsi="Arial"/>
          <w:bCs/>
        </w:rPr>
        <w:t>Matriz analítica de los aprendizajes clave</w:t>
      </w:r>
    </w:p>
    <w:p w14:paraId="275BBE28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Alumna:</w:t>
      </w:r>
      <w:r>
        <w:rPr>
          <w:rStyle w:val="Ninguno"/>
          <w:rFonts w:ascii="Arial" w:hAnsi="Arial"/>
          <w:bCs/>
        </w:rPr>
        <w:t xml:space="preserve"> Diana Virginia Herrera Ramos</w:t>
      </w:r>
    </w:p>
    <w:p w14:paraId="059AD8AE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Número de lista: </w:t>
      </w:r>
      <w:r>
        <w:rPr>
          <w:rStyle w:val="Ninguno"/>
          <w:rFonts w:ascii="Arial" w:hAnsi="Arial"/>
          <w:bCs/>
        </w:rPr>
        <w:t>7</w:t>
      </w:r>
    </w:p>
    <w:p w14:paraId="20773E04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Cs/>
        </w:rPr>
        <w:t>2° Semestre          Sección: B</w:t>
      </w:r>
    </w:p>
    <w:p w14:paraId="1992D8C7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3192FC0C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6EDC2336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0E3FBA11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3DD1E3EF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XSpec="center" w:tblpY="991"/>
        <w:tblW w:w="13276" w:type="dxa"/>
        <w:tblLook w:val="04A0" w:firstRow="1" w:lastRow="0" w:firstColumn="1" w:lastColumn="0" w:noHBand="0" w:noVBand="1"/>
      </w:tblPr>
      <w:tblGrid>
        <w:gridCol w:w="2068"/>
        <w:gridCol w:w="1558"/>
        <w:gridCol w:w="1087"/>
        <w:gridCol w:w="1138"/>
        <w:gridCol w:w="978"/>
        <w:gridCol w:w="1938"/>
        <w:gridCol w:w="1938"/>
        <w:gridCol w:w="2571"/>
      </w:tblGrid>
      <w:tr w:rsidR="0059494B" w:rsidRPr="00F03041" w14:paraId="7F32573D" w14:textId="77777777" w:rsidTr="00797361">
        <w:trPr>
          <w:trHeight w:val="834"/>
        </w:trPr>
        <w:tc>
          <w:tcPr>
            <w:tcW w:w="3684" w:type="dxa"/>
            <w:gridSpan w:val="2"/>
            <w:shd w:val="clear" w:color="auto" w:fill="D094AB"/>
          </w:tcPr>
          <w:p w14:paraId="382225C9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lastRenderedPageBreak/>
              <w:t>Aprendizajes Claves</w:t>
            </w:r>
          </w:p>
        </w:tc>
        <w:tc>
          <w:tcPr>
            <w:tcW w:w="3263" w:type="dxa"/>
            <w:gridSpan w:val="3"/>
            <w:shd w:val="clear" w:color="auto" w:fill="D094AB"/>
          </w:tcPr>
          <w:p w14:paraId="11106152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Aprendizajes Esperados</w:t>
            </w:r>
            <w:r w:rsidRPr="00F03041">
              <w:rPr>
                <w:b/>
              </w:rPr>
              <w:tab/>
            </w:r>
          </w:p>
        </w:tc>
        <w:tc>
          <w:tcPr>
            <w:tcW w:w="1788" w:type="dxa"/>
            <w:vMerge w:val="restart"/>
            <w:shd w:val="clear" w:color="auto" w:fill="D094AB"/>
          </w:tcPr>
          <w:p w14:paraId="3C723D56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Nivel de Profundidad</w:t>
            </w:r>
          </w:p>
        </w:tc>
        <w:tc>
          <w:tcPr>
            <w:tcW w:w="1937" w:type="dxa"/>
            <w:vMerge w:val="restart"/>
            <w:shd w:val="clear" w:color="auto" w:fill="D094AB"/>
          </w:tcPr>
          <w:p w14:paraId="05A7EF14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¿Qué deben saber?</w:t>
            </w:r>
          </w:p>
        </w:tc>
        <w:tc>
          <w:tcPr>
            <w:tcW w:w="2604" w:type="dxa"/>
            <w:vMerge w:val="restart"/>
            <w:shd w:val="clear" w:color="auto" w:fill="D094AB"/>
          </w:tcPr>
          <w:p w14:paraId="168B75C9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¿Qué deben saber hacer?</w:t>
            </w:r>
          </w:p>
        </w:tc>
      </w:tr>
      <w:tr w:rsidR="0059494B" w:rsidRPr="00F03041" w14:paraId="430E8A89" w14:textId="77777777" w:rsidTr="00797361">
        <w:trPr>
          <w:trHeight w:val="83"/>
        </w:trPr>
        <w:tc>
          <w:tcPr>
            <w:tcW w:w="2121" w:type="dxa"/>
            <w:shd w:val="clear" w:color="auto" w:fill="E5C5D2"/>
          </w:tcPr>
          <w:p w14:paraId="4949BA58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 xml:space="preserve">Ejes </w:t>
            </w:r>
          </w:p>
        </w:tc>
        <w:tc>
          <w:tcPr>
            <w:tcW w:w="1562" w:type="dxa"/>
            <w:shd w:val="clear" w:color="auto" w:fill="E5C5D2"/>
          </w:tcPr>
          <w:p w14:paraId="2C7E8D20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Temas</w:t>
            </w:r>
          </w:p>
        </w:tc>
        <w:tc>
          <w:tcPr>
            <w:tcW w:w="1107" w:type="dxa"/>
            <w:shd w:val="clear" w:color="auto" w:fill="E5C5D2"/>
          </w:tcPr>
          <w:p w14:paraId="0DF8BF39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 xml:space="preserve">1er </w:t>
            </w:r>
          </w:p>
          <w:p w14:paraId="1ACCA2D5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1162" w:type="dxa"/>
            <w:shd w:val="clear" w:color="auto" w:fill="E5C5D2"/>
          </w:tcPr>
          <w:p w14:paraId="378F96E7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2°</w:t>
            </w:r>
          </w:p>
          <w:p w14:paraId="1A9CE760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992" w:type="dxa"/>
            <w:shd w:val="clear" w:color="auto" w:fill="E5C5D2"/>
          </w:tcPr>
          <w:p w14:paraId="1064FDFB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3er</w:t>
            </w:r>
          </w:p>
          <w:p w14:paraId="0D705131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1788" w:type="dxa"/>
            <w:vMerge/>
          </w:tcPr>
          <w:p w14:paraId="28E77176" w14:textId="77777777" w:rsidR="00F03041" w:rsidRPr="00F03041" w:rsidRDefault="00F03041" w:rsidP="00F03041">
            <w:pPr>
              <w:spacing w:after="160" w:line="360" w:lineRule="auto"/>
            </w:pPr>
          </w:p>
        </w:tc>
        <w:tc>
          <w:tcPr>
            <w:tcW w:w="1937" w:type="dxa"/>
            <w:vMerge/>
          </w:tcPr>
          <w:p w14:paraId="51F8793C" w14:textId="77777777" w:rsidR="00F03041" w:rsidRPr="00F03041" w:rsidRDefault="00F03041" w:rsidP="00F03041">
            <w:pPr>
              <w:spacing w:after="160" w:line="360" w:lineRule="auto"/>
            </w:pPr>
          </w:p>
        </w:tc>
        <w:tc>
          <w:tcPr>
            <w:tcW w:w="2604" w:type="dxa"/>
            <w:vMerge/>
          </w:tcPr>
          <w:p w14:paraId="444FC392" w14:textId="77777777" w:rsidR="00F03041" w:rsidRPr="00F03041" w:rsidRDefault="00F03041" w:rsidP="00F03041">
            <w:pPr>
              <w:spacing w:after="160" w:line="360" w:lineRule="auto"/>
            </w:pPr>
          </w:p>
        </w:tc>
      </w:tr>
      <w:tr w:rsidR="00797361" w:rsidRPr="00F03041" w14:paraId="16A66167" w14:textId="77777777" w:rsidTr="00797361">
        <w:trPr>
          <w:trHeight w:val="398"/>
        </w:trPr>
        <w:tc>
          <w:tcPr>
            <w:tcW w:w="2121" w:type="dxa"/>
            <w:vMerge w:val="restart"/>
            <w:shd w:val="clear" w:color="auto" w:fill="DBADBF"/>
          </w:tcPr>
          <w:p w14:paraId="1FE58316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 w:rsidRPr="00F03041">
              <w:rPr>
                <w:lang w:val="es-ES"/>
              </w:rPr>
              <w:t>Forma, espacio y medida</w:t>
            </w:r>
          </w:p>
        </w:tc>
        <w:tc>
          <w:tcPr>
            <w:tcW w:w="1562" w:type="dxa"/>
            <w:vMerge w:val="restart"/>
            <w:shd w:val="clear" w:color="auto" w:fill="F2E2E8"/>
          </w:tcPr>
          <w:p w14:paraId="42E2AA40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>
              <w:rPr>
                <w:lang w:val="es-ES"/>
              </w:rPr>
              <w:t>Magnitudes y medidas</w:t>
            </w:r>
          </w:p>
        </w:tc>
        <w:tc>
          <w:tcPr>
            <w:tcW w:w="3263" w:type="dxa"/>
            <w:gridSpan w:val="3"/>
            <w:shd w:val="clear" w:color="auto" w:fill="F2E2E8"/>
          </w:tcPr>
          <w:p w14:paraId="0CAA2921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 w:rsidRPr="00797361">
              <w:t>Identifica la longitud de varios objetos a través de la comparación directa o mediante el uso de un intermediario.</w:t>
            </w:r>
          </w:p>
        </w:tc>
        <w:tc>
          <w:tcPr>
            <w:tcW w:w="1788" w:type="dxa"/>
            <w:shd w:val="clear" w:color="auto" w:fill="F2E2E8"/>
          </w:tcPr>
          <w:p w14:paraId="76F87C3A" w14:textId="76096A90" w:rsidR="00797361" w:rsidRPr="00F03041" w:rsidRDefault="00D367F0" w:rsidP="00F03041">
            <w:pPr>
              <w:spacing w:after="160" w:line="360" w:lineRule="auto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D367F0">
              <w:t>a</w:t>
            </w:r>
            <w:r>
              <w:t xml:space="preserve">s actividades deben permitir la manipulación y el </w:t>
            </w:r>
            <w:r w:rsidRPr="00D367F0">
              <w:t xml:space="preserve">acercamiento directo para generar experiencias significativas (comparar el tamaño de una ballena y un gallo en una imagen para saber cuál es más grande, </w:t>
            </w:r>
            <w:r w:rsidRPr="00D367F0">
              <w:lastRenderedPageBreak/>
              <w:t>por ejemplo, es poco adecuado)</w:t>
            </w:r>
          </w:p>
        </w:tc>
        <w:tc>
          <w:tcPr>
            <w:tcW w:w="1937" w:type="dxa"/>
            <w:shd w:val="clear" w:color="auto" w:fill="F2E2E8"/>
          </w:tcPr>
          <w:p w14:paraId="1CCC5AFE" w14:textId="77777777" w:rsidR="00D367F0" w:rsidRPr="00D367F0" w:rsidRDefault="00D367F0" w:rsidP="00D367F0">
            <w:pPr>
              <w:spacing w:after="160" w:line="360" w:lineRule="auto"/>
            </w:pPr>
            <w:r w:rsidRPr="00D367F0">
              <w:rPr>
                <w:b/>
              </w:rPr>
              <w:lastRenderedPageBreak/>
              <w:t>Comparar</w:t>
            </w:r>
            <w:r w:rsidRPr="00D367F0">
              <w:t xml:space="preserve"> de manera directa la longitud y capacidad de dos objetos o recipientes.</w:t>
            </w:r>
          </w:p>
          <w:p w14:paraId="35C2A17A" w14:textId="77777777" w:rsidR="00797361" w:rsidRPr="00D367F0" w:rsidRDefault="00797361" w:rsidP="00F03041">
            <w:pPr>
              <w:spacing w:after="160" w:line="360" w:lineRule="auto"/>
            </w:pPr>
          </w:p>
        </w:tc>
        <w:tc>
          <w:tcPr>
            <w:tcW w:w="2604" w:type="dxa"/>
            <w:shd w:val="clear" w:color="auto" w:fill="F2E2E8"/>
          </w:tcPr>
          <w:p w14:paraId="06B98816" w14:textId="09A203D8" w:rsidR="00687B16" w:rsidRPr="00F03041" w:rsidRDefault="00687B16" w:rsidP="00F03041">
            <w:pPr>
              <w:spacing w:after="160" w:line="360" w:lineRule="auto"/>
            </w:pPr>
            <w:r w:rsidRPr="00687B16">
              <w:t xml:space="preserve">La comparación de longitudes permite a los niños </w:t>
            </w:r>
            <w:r w:rsidRPr="00687B16">
              <w:rPr>
                <w:b/>
              </w:rPr>
              <w:t>clasificar</w:t>
            </w:r>
            <w:r w:rsidRPr="00687B16">
              <w:t xml:space="preserve"> objetos, </w:t>
            </w:r>
            <w:r w:rsidRPr="00687B16">
              <w:rPr>
                <w:b/>
              </w:rPr>
              <w:t>ordenarlos</w:t>
            </w:r>
            <w:r w:rsidRPr="00687B16">
              <w:t xml:space="preserve"> de mayor a menor longitud o viceversa, y </w:t>
            </w:r>
            <w:r w:rsidRPr="00687B16">
              <w:rPr>
                <w:b/>
              </w:rPr>
              <w:t>descubrir</w:t>
            </w:r>
            <w:r w:rsidRPr="00687B16">
              <w:t xml:space="preserve"> cuáles son de igual longitud.</w:t>
            </w:r>
          </w:p>
        </w:tc>
      </w:tr>
      <w:tr w:rsidR="00797361" w:rsidRPr="00F03041" w14:paraId="5F526144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07F362BF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1F1FE0F4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2505A086" w14:textId="77777777" w:rsidR="00797361" w:rsidRDefault="00797361" w:rsidP="00F03041">
            <w:r w:rsidRPr="00797361">
              <w:t>Compara distancias mediante el uso de un intermediario.</w:t>
            </w:r>
          </w:p>
          <w:p w14:paraId="63EBEAC7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6C9AB3AD" w14:textId="4072A4C9" w:rsidR="00797361" w:rsidRPr="00F03041" w:rsidRDefault="00D367F0" w:rsidP="00F03041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687B16">
              <w:t>s importante tener oportunidades de estimar y verificar la longitud de distancias, la estatura de personas o alguna dimensión de los objetos (largo, ancho, alto), así como encontrar objetos que en alguna de sus dimensiones compartan la misma longitud</w:t>
            </w:r>
            <w:r>
              <w:t>.</w:t>
            </w:r>
          </w:p>
        </w:tc>
        <w:tc>
          <w:tcPr>
            <w:tcW w:w="1937" w:type="dxa"/>
            <w:shd w:val="clear" w:color="auto" w:fill="F2E2E8"/>
          </w:tcPr>
          <w:p w14:paraId="05EBD675" w14:textId="4C8E147E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438EFB7A" w14:textId="54416E84" w:rsidR="00797361" w:rsidRPr="00F03041" w:rsidRDefault="00687B16" w:rsidP="000E7501">
            <w:r w:rsidRPr="00687B16">
              <w:rPr>
                <w:b/>
              </w:rPr>
              <w:t>Experimentar</w:t>
            </w:r>
            <w:r w:rsidRPr="00687B16">
              <w:t xml:space="preserve"> con el uso de unidades de medida no convencionales para obtener el largo, ancho o alto de un objeto; la estatura de una persona; la distancia entre dos puntos determinados o la capacidad de un recipiente.</w:t>
            </w:r>
          </w:p>
        </w:tc>
      </w:tr>
      <w:tr w:rsidR="00797361" w:rsidRPr="00F03041" w14:paraId="00341D10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766A67C2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6B1B798E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18133500" w14:textId="77777777" w:rsidR="00797361" w:rsidRDefault="00797361" w:rsidP="00F03041">
            <w:r w:rsidRPr="00797361">
              <w:t>Mide objetos o distancias mediante el uso de unidades no convencionales.</w:t>
            </w:r>
          </w:p>
          <w:p w14:paraId="33E4F095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7E57321B" w14:textId="77777777" w:rsidR="00797361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t xml:space="preserve">Usen términos que impliquen la longitud como  lejos – cerca, alto-bajo, largo-corto, ancho-estrecho. En la comparación de longitudes </w:t>
            </w:r>
            <w:r>
              <w:rPr>
                <w:lang w:val="es-ES"/>
              </w:rPr>
              <w:lastRenderedPageBreak/>
              <w:t>clasifiquen objetos, ordenarlos de mayor a menor longitud o viceversa  y descubrir    cuales son de igual  longitud.</w:t>
            </w:r>
          </w:p>
          <w:p w14:paraId="56DA34AF" w14:textId="77777777" w:rsidR="007D4862" w:rsidRDefault="007D4862" w:rsidP="00F03041">
            <w:pPr>
              <w:rPr>
                <w:lang w:val="es-ES"/>
              </w:rPr>
            </w:pPr>
          </w:p>
          <w:p w14:paraId="5AD1AF70" w14:textId="77777777" w:rsidR="007D4862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t>Se comienza a trabajar  con las distancias y tamaños.</w:t>
            </w:r>
          </w:p>
          <w:p w14:paraId="09F14045" w14:textId="77777777" w:rsidR="007D4862" w:rsidRDefault="007D4862" w:rsidP="00F03041">
            <w:pPr>
              <w:rPr>
                <w:lang w:val="es-ES"/>
              </w:rPr>
            </w:pPr>
          </w:p>
          <w:p w14:paraId="2044D14A" w14:textId="77777777" w:rsidR="007D4862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t>Encontrar objetos que comparten la misma longitud o hacer que un objeto mida la misma longitud que otro.</w:t>
            </w:r>
          </w:p>
          <w:p w14:paraId="128B027F" w14:textId="77777777" w:rsidR="007D4862" w:rsidRDefault="007D4862" w:rsidP="00F03041">
            <w:pPr>
              <w:rPr>
                <w:lang w:val="es-ES"/>
              </w:rPr>
            </w:pPr>
          </w:p>
          <w:p w14:paraId="59C6B14D" w14:textId="77777777" w:rsidR="007D4862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t>Participar y verificar longitudes y capacidades con el uso de unidades de medida no convencionales.</w:t>
            </w:r>
          </w:p>
          <w:p w14:paraId="4E736CB7" w14:textId="77777777" w:rsidR="007D4862" w:rsidRDefault="007D4862" w:rsidP="00F03041">
            <w:pPr>
              <w:rPr>
                <w:lang w:val="es-ES"/>
              </w:rPr>
            </w:pPr>
          </w:p>
          <w:p w14:paraId="60D7B5FC" w14:textId="77777777" w:rsidR="007D4862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Anticipar y verificar longitudes y capacidades con el uso de medidas no convencionales.</w:t>
            </w:r>
          </w:p>
          <w:p w14:paraId="579C4D2D" w14:textId="77777777" w:rsidR="007D4862" w:rsidRDefault="007D4862" w:rsidP="00F03041">
            <w:pPr>
              <w:rPr>
                <w:lang w:val="es-ES"/>
              </w:rPr>
            </w:pPr>
          </w:p>
          <w:p w14:paraId="70EE44B7" w14:textId="4BFED680" w:rsidR="007D4862" w:rsidRPr="00F03041" w:rsidRDefault="007D4862" w:rsidP="00F03041">
            <w:pPr>
              <w:rPr>
                <w:lang w:val="es-ES"/>
              </w:rPr>
            </w:pPr>
            <w:r>
              <w:rPr>
                <w:lang w:val="es-ES"/>
              </w:rPr>
              <w:t>Reconoce la longitud y la capacidad de mayor, igual o menor entre dos objetos o puntos.</w:t>
            </w:r>
          </w:p>
        </w:tc>
        <w:tc>
          <w:tcPr>
            <w:tcW w:w="1937" w:type="dxa"/>
            <w:shd w:val="clear" w:color="auto" w:fill="F2E2E8"/>
          </w:tcPr>
          <w:p w14:paraId="2F6304FD" w14:textId="6CA015B2" w:rsidR="007D4862" w:rsidRPr="007D4862" w:rsidRDefault="00B20972" w:rsidP="007D4862">
            <w:proofErr w:type="spellStart"/>
            <w:r w:rsidRPr="00B20972">
              <w:lastRenderedPageBreak/>
              <w:t>°</w:t>
            </w:r>
            <w:r w:rsidR="007D4862" w:rsidRPr="007D4862">
              <w:t>Identificar</w:t>
            </w:r>
            <w:proofErr w:type="spellEnd"/>
            <w:r w:rsidR="007D4862" w:rsidRPr="007D4862">
              <w:t xml:space="preserve"> distancias con el uso de unidades no convencionales.</w:t>
            </w:r>
          </w:p>
          <w:p w14:paraId="04C33222" w14:textId="77777777" w:rsidR="007D4862" w:rsidRPr="007D4862" w:rsidRDefault="007D4862" w:rsidP="007D4862"/>
          <w:p w14:paraId="4F66FC1F" w14:textId="77777777" w:rsidR="007D4862" w:rsidRPr="007D4862" w:rsidRDefault="007D4862" w:rsidP="007D4862">
            <w:r w:rsidRPr="007D4862">
              <w:t xml:space="preserve">° La diferencia de medida en objetos y medidas </w:t>
            </w:r>
          </w:p>
          <w:p w14:paraId="3CE30CD3" w14:textId="77777777" w:rsidR="007D4862" w:rsidRPr="007D4862" w:rsidRDefault="007D4862" w:rsidP="007D4862">
            <w:r w:rsidRPr="007D4862">
              <w:lastRenderedPageBreak/>
              <w:t xml:space="preserve">Eje: el vaso es grande y no largo </w:t>
            </w:r>
          </w:p>
          <w:p w14:paraId="6D6FD324" w14:textId="77777777" w:rsidR="007D4862" w:rsidRPr="007D4862" w:rsidRDefault="007D4862" w:rsidP="007D4862"/>
          <w:p w14:paraId="7603F9C5" w14:textId="77777777" w:rsidR="007D4862" w:rsidRPr="007D4862" w:rsidRDefault="007D4862" w:rsidP="007D4862">
            <w:r w:rsidRPr="007D4862">
              <w:t>° Sea capaz de trabajar con las medidas arbitraderas ya sea pies, manos, pulgares, lápices, listones, etc.</w:t>
            </w:r>
          </w:p>
          <w:p w14:paraId="1191F7C6" w14:textId="77777777" w:rsidR="007D4862" w:rsidRPr="007D4862" w:rsidRDefault="007D4862" w:rsidP="007D4862"/>
          <w:p w14:paraId="27DB2E7D" w14:textId="77777777" w:rsidR="007D4862" w:rsidRPr="007D4862" w:rsidRDefault="007D4862" w:rsidP="007D4862">
            <w:r w:rsidRPr="007D4862">
              <w:t>°  Llevar acabo la utilización de  listones de colores de distintas medidas así como algún otro material que puedan utilizarse para la medición y comparación.</w:t>
            </w:r>
          </w:p>
          <w:p w14:paraId="1E9336CC" w14:textId="77777777" w:rsidR="007D4862" w:rsidRPr="007D4862" w:rsidRDefault="007D4862" w:rsidP="007D4862"/>
          <w:p w14:paraId="10A9EB3B" w14:textId="77777777" w:rsidR="007D4862" w:rsidRPr="007D4862" w:rsidRDefault="007D4862" w:rsidP="007D4862">
            <w:r w:rsidRPr="007D4862">
              <w:t xml:space="preserve">° saber diferenciar que alto y largo son adjetivos completamente diferentes y no se pueden </w:t>
            </w:r>
            <w:r w:rsidRPr="007D4862">
              <w:lastRenderedPageBreak/>
              <w:t>aplicar a todos los objetos</w:t>
            </w:r>
          </w:p>
          <w:p w14:paraId="61B1F5F9" w14:textId="77777777" w:rsidR="007D4862" w:rsidRPr="007D4862" w:rsidRDefault="007D4862" w:rsidP="007D4862"/>
          <w:p w14:paraId="03362C80" w14:textId="77777777" w:rsidR="007D4862" w:rsidRDefault="007D4862" w:rsidP="007D4862">
            <w:r w:rsidRPr="007D4862">
              <w:t>•Reconoce las distancias básicas con exactitud</w:t>
            </w:r>
            <w:r w:rsidR="00B20972">
              <w:t>.</w:t>
            </w:r>
          </w:p>
          <w:p w14:paraId="6A164E6B" w14:textId="77777777" w:rsidR="00B20972" w:rsidRPr="007D4862" w:rsidRDefault="00B20972" w:rsidP="007D4862"/>
          <w:p w14:paraId="5055D236" w14:textId="77777777" w:rsidR="007D4862" w:rsidRDefault="007D4862" w:rsidP="007D4862">
            <w:r w:rsidRPr="007D4862">
              <w:t>•mide objetos utilizando la estrategia que él considere conveniente</w:t>
            </w:r>
            <w:r w:rsidR="00B20972">
              <w:t>.</w:t>
            </w:r>
          </w:p>
          <w:p w14:paraId="0D9DB608" w14:textId="77777777" w:rsidR="00B20972" w:rsidRPr="007D4862" w:rsidRDefault="00B20972" w:rsidP="007D4862"/>
          <w:p w14:paraId="076E45CD" w14:textId="77777777" w:rsidR="007D4862" w:rsidRPr="007D4862" w:rsidRDefault="007D4862" w:rsidP="007D4862">
            <w:r w:rsidRPr="007D4862">
              <w:t>•Conoce y  diferencia los conceptos básicos de capacidad</w:t>
            </w:r>
          </w:p>
          <w:p w14:paraId="7FCF1058" w14:textId="77777777" w:rsidR="00797361" w:rsidRPr="007D4862" w:rsidRDefault="00797361" w:rsidP="00F03041"/>
        </w:tc>
        <w:tc>
          <w:tcPr>
            <w:tcW w:w="2604" w:type="dxa"/>
            <w:shd w:val="clear" w:color="auto" w:fill="F2E2E8"/>
          </w:tcPr>
          <w:p w14:paraId="16B881AE" w14:textId="30D0E629" w:rsidR="00B20972" w:rsidRPr="00B20972" w:rsidRDefault="00B20972" w:rsidP="00B20972">
            <w:r>
              <w:lastRenderedPageBreak/>
              <w:t>° I</w:t>
            </w:r>
            <w:r w:rsidRPr="00B20972">
              <w:t>dentificar distancias con el uso de unidades no convencionales.</w:t>
            </w:r>
          </w:p>
          <w:p w14:paraId="3F53BC0A" w14:textId="77777777" w:rsidR="00B20972" w:rsidRPr="00B20972" w:rsidRDefault="00B20972" w:rsidP="00B20972">
            <w:r w:rsidRPr="00B20972">
              <w:t xml:space="preserve"> </w:t>
            </w:r>
          </w:p>
          <w:p w14:paraId="0A619E95" w14:textId="77777777" w:rsidR="00B20972" w:rsidRPr="00B20972" w:rsidRDefault="00B20972" w:rsidP="00B20972">
            <w:r w:rsidRPr="00B20972">
              <w:t>° Utilizar unidades de medida como manos, brazos, pies, listones, lápices etc...</w:t>
            </w:r>
          </w:p>
          <w:p w14:paraId="5E0D7086" w14:textId="77777777" w:rsidR="00B20972" w:rsidRPr="00B20972" w:rsidRDefault="00B20972" w:rsidP="00B20972"/>
          <w:p w14:paraId="44A2BFF0" w14:textId="77777777" w:rsidR="00B20972" w:rsidRPr="00B20972" w:rsidRDefault="00B20972" w:rsidP="00B20972">
            <w:r w:rsidRPr="00B20972">
              <w:lastRenderedPageBreak/>
              <w:t>° Miden observan y comparan longitudes</w:t>
            </w:r>
          </w:p>
          <w:p w14:paraId="32AA2C4F" w14:textId="77777777" w:rsidR="00B20972" w:rsidRPr="00B20972" w:rsidRDefault="00B20972" w:rsidP="00B20972"/>
          <w:p w14:paraId="4572AF89" w14:textId="77777777" w:rsidR="00B20972" w:rsidRPr="00B20972" w:rsidRDefault="00B20972" w:rsidP="00B20972">
            <w:r w:rsidRPr="00B20972">
              <w:t xml:space="preserve">° Ordenar objetos de menor a mayor tamaño en relación a las medidas </w:t>
            </w:r>
          </w:p>
          <w:p w14:paraId="5BC4F6A1" w14:textId="77777777" w:rsidR="00B20972" w:rsidRPr="00B20972" w:rsidRDefault="00B20972" w:rsidP="00B20972"/>
          <w:p w14:paraId="2E3672DA" w14:textId="77777777" w:rsidR="00B20972" w:rsidRPr="00B20972" w:rsidRDefault="00B20972" w:rsidP="00B20972"/>
          <w:p w14:paraId="79E0F267" w14:textId="77777777" w:rsidR="00B20972" w:rsidRPr="00B20972" w:rsidRDefault="00B20972" w:rsidP="00B20972">
            <w:r w:rsidRPr="00B20972">
              <w:t xml:space="preserve">° Comunica la distancias en que se encuentran objetos (cerca y lejos) , personas o animales  mediante el uso de unidades </w:t>
            </w:r>
          </w:p>
          <w:p w14:paraId="45C0581F" w14:textId="77777777" w:rsidR="00B20972" w:rsidRPr="00B20972" w:rsidRDefault="00B20972" w:rsidP="00B20972"/>
          <w:p w14:paraId="45B30784" w14:textId="77777777" w:rsidR="00797361" w:rsidRPr="00F03041" w:rsidRDefault="00797361" w:rsidP="00F03041"/>
        </w:tc>
      </w:tr>
      <w:tr w:rsidR="00797361" w:rsidRPr="00F03041" w14:paraId="19F89353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6A4B9493" w14:textId="74CB4419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708FBA38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4E7F75F" w14:textId="77777777" w:rsidR="00797361" w:rsidRDefault="00797361" w:rsidP="00F03041">
            <w:r w:rsidRPr="00797361">
              <w:t>Usa unidades no convencionales para medir la capacidad con distintos propósitos.</w:t>
            </w:r>
          </w:p>
          <w:p w14:paraId="6209C942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2C7AC956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7D8AB258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4CE8CC75" w14:textId="77777777" w:rsidR="00797361" w:rsidRPr="00F03041" w:rsidRDefault="00797361" w:rsidP="00F03041"/>
        </w:tc>
      </w:tr>
      <w:tr w:rsidR="00797361" w:rsidRPr="00F03041" w14:paraId="70861411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7038A36D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47E2895A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8BC2C2B" w14:textId="77777777" w:rsidR="00797361" w:rsidRDefault="00797361" w:rsidP="00F03041">
            <w:r w:rsidRPr="00797361">
              <w:t>Identifica varios eventos de su vida cotidiana y dice el orden en que ocurren.</w:t>
            </w:r>
          </w:p>
          <w:p w14:paraId="45F74BB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3B21242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01755A4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0E15AC77" w14:textId="77777777" w:rsidR="00797361" w:rsidRPr="00F03041" w:rsidRDefault="00797361" w:rsidP="00F03041"/>
        </w:tc>
      </w:tr>
      <w:tr w:rsidR="00797361" w:rsidRPr="00F03041" w14:paraId="601C41B0" w14:textId="77777777" w:rsidTr="00797361">
        <w:trPr>
          <w:trHeight w:val="398"/>
        </w:trPr>
        <w:tc>
          <w:tcPr>
            <w:tcW w:w="2121" w:type="dxa"/>
            <w:vMerge/>
            <w:tcBorders>
              <w:bottom w:val="single" w:sz="4" w:space="0" w:color="FFC5D8"/>
            </w:tcBorders>
            <w:shd w:val="clear" w:color="auto" w:fill="DBADBF"/>
          </w:tcPr>
          <w:p w14:paraId="62BCB66A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7CAEE7D5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D00C2B9" w14:textId="77777777" w:rsidR="00797361" w:rsidRDefault="00797361" w:rsidP="00F03041">
            <w:r w:rsidRPr="00797361">
              <w:t xml:space="preserve">Usa expresiones temporales y representaciones gráficas </w:t>
            </w:r>
            <w:r w:rsidRPr="00797361">
              <w:lastRenderedPageBreak/>
              <w:t>para explicar la sucesión de eventos.</w:t>
            </w:r>
          </w:p>
          <w:p w14:paraId="013B263A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55362B94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1A32A290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23932C6E" w14:textId="77777777" w:rsidR="00797361" w:rsidRPr="00F03041" w:rsidRDefault="00797361" w:rsidP="00F03041"/>
        </w:tc>
      </w:tr>
    </w:tbl>
    <w:p w14:paraId="3710F2F3" w14:textId="77777777" w:rsidR="005E4604" w:rsidRDefault="005E4604"/>
    <w:p w14:paraId="7D6E50B4" w14:textId="77777777" w:rsidR="00B20972" w:rsidRDefault="00B20972"/>
    <w:p w14:paraId="00AAB8D4" w14:textId="643D874C" w:rsidR="00B20972" w:rsidRDefault="00B20972" w:rsidP="00B20972">
      <w:pPr>
        <w:rPr>
          <w:b/>
        </w:rPr>
      </w:pPr>
      <w:r>
        <w:rPr>
          <w:b/>
        </w:rPr>
        <w:t>Link del video para favorecer el aprendizaje “</w:t>
      </w:r>
      <w:r w:rsidRPr="00B20972">
        <w:rPr>
          <w:b/>
        </w:rPr>
        <w:t>Mide objetos o distancias mediante el uso de unidades no convencionales.</w:t>
      </w:r>
      <w:r>
        <w:rPr>
          <w:b/>
        </w:rPr>
        <w:t>”</w:t>
      </w:r>
    </w:p>
    <w:p w14:paraId="277C5D48" w14:textId="762F16AB" w:rsidR="00B20972" w:rsidRDefault="00B20972" w:rsidP="00B20972">
      <w:hyperlink r:id="rId5" w:history="1">
        <w:r w:rsidRPr="007827F8">
          <w:rPr>
            <w:rStyle w:val="Hipervnculo"/>
          </w:rPr>
          <w:t>https://www.youtube.com/watch?v=E1HaYlgJ0NU&amp;ab_channel=YazminDuarte</w:t>
        </w:r>
      </w:hyperlink>
    </w:p>
    <w:p w14:paraId="36264135" w14:textId="428BAAFF" w:rsidR="00B20972" w:rsidRDefault="00B20972" w:rsidP="00B20972">
      <w:r>
        <w:t xml:space="preserve">INICIO: </w:t>
      </w:r>
      <w:r w:rsidRPr="00B20972">
        <w:t>Cómo es una secuencia elaborada en la época de pandemia (COVID - 19) se comienza informándolos y dándoles consejos para cuidarse de este virus</w:t>
      </w:r>
      <w:r>
        <w:t>.</w:t>
      </w:r>
    </w:p>
    <w:p w14:paraId="5EBE3888" w14:textId="5C0DF284" w:rsidR="00B20972" w:rsidRDefault="00B20972" w:rsidP="00B20972">
      <w:r w:rsidRPr="00B20972">
        <w:t>DESARROLLO</w:t>
      </w:r>
      <w:r>
        <w:t>:</w:t>
      </w:r>
      <w:r w:rsidRPr="00B20972">
        <w:t xml:space="preserve"> Aquí se les presentan diferentes objetos (los cuales tienen diferentes utilidades) pero se centra en utilizarlos para medirlos utilizando manos, libros, listones </w:t>
      </w:r>
      <w:r w:rsidR="00BB011A" w:rsidRPr="00B20972">
        <w:t xml:space="preserve">etc. </w:t>
      </w:r>
      <w:r w:rsidRPr="00B20972">
        <w:t>Después dibujan su silueta para así poder medirla (en esta ocasión utilizan un libro para medirla). Les presentan el significado de cuarta (que es la distancia del dedo pulgar y el meñique)</w:t>
      </w:r>
      <w:r>
        <w:t>.</w:t>
      </w:r>
    </w:p>
    <w:p w14:paraId="5202F81E" w14:textId="5B9EB4E5" w:rsidR="00B20972" w:rsidRPr="00B20972" w:rsidRDefault="00B20972" w:rsidP="00B20972">
      <w:r w:rsidRPr="00B20972">
        <w:t>CIERRE</w:t>
      </w:r>
      <w:r>
        <w:t>:</w:t>
      </w:r>
      <w:r w:rsidRPr="00B20972">
        <w:t xml:space="preserve"> Les ponen un juego a los alumnos (gallo gallina) en el que utilizan la unidad de medida de los pies contando paso desde diferentes direcciones y se aplica una pausa activa para animarlos</w:t>
      </w:r>
      <w:r>
        <w:t>.</w:t>
      </w:r>
    </w:p>
    <w:p w14:paraId="0C1B0806" w14:textId="279DA86E" w:rsidR="00B20972" w:rsidRPr="00B20972" w:rsidRDefault="00B20972">
      <w:pPr>
        <w:rPr>
          <w:b/>
        </w:rPr>
      </w:pPr>
      <w:bookmarkStart w:id="0" w:name="_GoBack"/>
      <w:bookmarkEnd w:id="0"/>
    </w:p>
    <w:sectPr w:rsidR="00B20972" w:rsidRPr="00B20972" w:rsidSect="00F0304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41"/>
    <w:rsid w:val="000E7501"/>
    <w:rsid w:val="002F7838"/>
    <w:rsid w:val="003103DC"/>
    <w:rsid w:val="0059494B"/>
    <w:rsid w:val="005E4604"/>
    <w:rsid w:val="00687B16"/>
    <w:rsid w:val="00722123"/>
    <w:rsid w:val="00740842"/>
    <w:rsid w:val="00797361"/>
    <w:rsid w:val="007D4862"/>
    <w:rsid w:val="009D347C"/>
    <w:rsid w:val="00B20972"/>
    <w:rsid w:val="00B21968"/>
    <w:rsid w:val="00BB011A"/>
    <w:rsid w:val="00D367F0"/>
    <w:rsid w:val="00E33ED2"/>
    <w:rsid w:val="00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F9D2"/>
  <w15:chartTrackingRefBased/>
  <w15:docId w15:val="{63398009-E7A0-40E7-AA36-E7747356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F03041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F03041"/>
  </w:style>
  <w:style w:type="table" w:styleId="Tablaconcuadrcula">
    <w:name w:val="Table Grid"/>
    <w:basedOn w:val="Tablanormal"/>
    <w:uiPriority w:val="39"/>
    <w:rsid w:val="00F0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3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0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041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04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20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1HaYlgJ0NU&amp;ab_channel=YazminDuar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2021-05-27T13:40:00Z</dcterms:created>
  <dcterms:modified xsi:type="dcterms:W3CDTF">2021-05-27T13:41:00Z</dcterms:modified>
</cp:coreProperties>
</file>