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B540" w14:textId="336287B8" w:rsidR="00CD116C" w:rsidRDefault="00CD116C" w:rsidP="00CD116C">
      <w:pPr>
        <w:rPr>
          <w:rFonts w:ascii="Arial" w:hAnsi="Arial" w:cs="Arial"/>
          <w:b/>
          <w:bCs/>
          <w:sz w:val="40"/>
          <w:szCs w:val="40"/>
        </w:rPr>
      </w:pPr>
      <w:r>
        <w:rPr>
          <w:noProof/>
          <w:lang w:eastAsia="es-MX"/>
        </w:rPr>
        <w:drawing>
          <wp:anchor distT="0" distB="0" distL="114300" distR="114300" simplePos="0" relativeHeight="251659264" behindDoc="1" locked="0" layoutInCell="1" allowOverlap="1" wp14:anchorId="61675A74" wp14:editId="5506079B">
            <wp:simplePos x="0" y="0"/>
            <wp:positionH relativeFrom="page">
              <wp:posOffset>552450</wp:posOffset>
            </wp:positionH>
            <wp:positionV relativeFrom="paragraph">
              <wp:posOffset>0</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Pr>
          <w:rFonts w:ascii="Arial" w:hAnsi="Arial" w:cs="Arial"/>
          <w:b/>
          <w:bCs/>
          <w:sz w:val="40"/>
          <w:szCs w:val="40"/>
        </w:rPr>
        <w:t xml:space="preserve">       </w:t>
      </w:r>
      <w:r w:rsidRPr="00B0717E">
        <w:rPr>
          <w:rFonts w:ascii="Arial" w:hAnsi="Arial" w:cs="Arial"/>
          <w:b/>
          <w:bCs/>
          <w:sz w:val="40"/>
          <w:szCs w:val="40"/>
        </w:rPr>
        <w:t>Escuela Normal de Educación Preescolar.</w:t>
      </w:r>
    </w:p>
    <w:p w14:paraId="68762DD1" w14:textId="77777777" w:rsidR="00CD116C" w:rsidRDefault="00CD116C" w:rsidP="00CD116C">
      <w:pPr>
        <w:rPr>
          <w:rFonts w:ascii="Arial" w:hAnsi="Arial" w:cs="Arial"/>
          <w:b/>
          <w:bCs/>
          <w:sz w:val="40"/>
          <w:szCs w:val="40"/>
        </w:rPr>
      </w:pPr>
      <w:r>
        <w:rPr>
          <w:rFonts w:ascii="Arial" w:hAnsi="Arial" w:cs="Arial"/>
          <w:b/>
          <w:bCs/>
          <w:sz w:val="40"/>
          <w:szCs w:val="40"/>
        </w:rPr>
        <w:t xml:space="preserve">          </w:t>
      </w:r>
      <w:r w:rsidRPr="00B0717E">
        <w:rPr>
          <w:rFonts w:ascii="Arial" w:hAnsi="Arial" w:cs="Arial"/>
          <w:b/>
          <w:bCs/>
          <w:sz w:val="40"/>
          <w:szCs w:val="40"/>
        </w:rPr>
        <w:t>Licenciatura en Educación Preescolar.</w:t>
      </w:r>
    </w:p>
    <w:p w14:paraId="18C89567" w14:textId="77777777" w:rsidR="00CD116C" w:rsidRPr="00CD116C" w:rsidRDefault="00CD116C" w:rsidP="00CD116C">
      <w:pPr>
        <w:jc w:val="center"/>
        <w:rPr>
          <w:rFonts w:ascii="Arial" w:hAnsi="Arial" w:cs="Arial"/>
          <w:b/>
          <w:bCs/>
          <w:sz w:val="36"/>
          <w:szCs w:val="36"/>
        </w:rPr>
      </w:pPr>
    </w:p>
    <w:p w14:paraId="6218482A" w14:textId="74F884B3" w:rsidR="00CD116C" w:rsidRPr="00CD116C" w:rsidRDefault="00CD116C" w:rsidP="00CD116C">
      <w:pPr>
        <w:rPr>
          <w:rFonts w:ascii="Arial" w:hAnsi="Arial" w:cs="Arial"/>
          <w:b/>
          <w:bCs/>
          <w:sz w:val="32"/>
          <w:szCs w:val="32"/>
        </w:rPr>
      </w:pPr>
      <w:r>
        <w:rPr>
          <w:rFonts w:ascii="Arial" w:hAnsi="Arial" w:cs="Arial"/>
          <w:b/>
          <w:bCs/>
          <w:sz w:val="32"/>
          <w:szCs w:val="32"/>
        </w:rPr>
        <w:t xml:space="preserve">                                </w:t>
      </w:r>
      <w:r w:rsidRPr="00CD116C">
        <w:rPr>
          <w:rFonts w:ascii="Arial" w:hAnsi="Arial" w:cs="Arial"/>
          <w:b/>
          <w:bCs/>
          <w:sz w:val="32"/>
          <w:szCs w:val="32"/>
        </w:rPr>
        <w:t>Forma, espacio y medida.</w:t>
      </w:r>
    </w:p>
    <w:p w14:paraId="5895527E" w14:textId="77777777" w:rsidR="00CD116C" w:rsidRPr="00CD116C" w:rsidRDefault="00CD116C" w:rsidP="00CD116C">
      <w:pPr>
        <w:jc w:val="center"/>
        <w:rPr>
          <w:rFonts w:ascii="Arial" w:hAnsi="Arial" w:cs="Arial"/>
          <w:b/>
          <w:bCs/>
          <w:sz w:val="32"/>
          <w:szCs w:val="32"/>
        </w:rPr>
      </w:pPr>
      <w:r w:rsidRPr="00CD116C">
        <w:rPr>
          <w:rFonts w:ascii="Arial" w:hAnsi="Arial" w:cs="Arial"/>
          <w:b/>
          <w:bCs/>
          <w:sz w:val="32"/>
          <w:szCs w:val="32"/>
        </w:rPr>
        <w:t xml:space="preserve">Maestra: Oralia Gabriela Palmares Villareal. </w:t>
      </w:r>
    </w:p>
    <w:p w14:paraId="738A8071" w14:textId="77777777" w:rsidR="00CD116C" w:rsidRPr="00CD116C" w:rsidRDefault="00CD116C" w:rsidP="00CD116C">
      <w:pPr>
        <w:jc w:val="center"/>
        <w:rPr>
          <w:rFonts w:ascii="Arial" w:hAnsi="Arial" w:cs="Arial"/>
          <w:b/>
          <w:bCs/>
          <w:sz w:val="28"/>
          <w:szCs w:val="28"/>
        </w:rPr>
      </w:pPr>
    </w:p>
    <w:p w14:paraId="236E52A2" w14:textId="2D85F09D"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Alumnas: Angélyca Pamela Rodríguez de la Peña. #14</w:t>
      </w:r>
    </w:p>
    <w:p w14:paraId="066C7501" w14:textId="3591E1E0" w:rsidR="00CD116C" w:rsidRPr="00CD116C" w:rsidRDefault="00EF71A7" w:rsidP="00CD116C">
      <w:pPr>
        <w:jc w:val="center"/>
        <w:rPr>
          <w:rFonts w:ascii="Arial" w:hAnsi="Arial" w:cs="Arial"/>
          <w:b/>
          <w:bCs/>
          <w:sz w:val="28"/>
          <w:szCs w:val="28"/>
        </w:rPr>
      </w:pPr>
      <w:r>
        <w:rPr>
          <w:rFonts w:ascii="Arial" w:hAnsi="Arial" w:cs="Arial"/>
          <w:b/>
          <w:bCs/>
          <w:sz w:val="28"/>
          <w:szCs w:val="28"/>
        </w:rPr>
        <w:t>Jatziry Wendolyne Guillen Cabello. #8</w:t>
      </w:r>
    </w:p>
    <w:p w14:paraId="651AF04F" w14:textId="2A2C7311" w:rsidR="00EF71A7" w:rsidRPr="00CD116C" w:rsidRDefault="00EF71A7" w:rsidP="00EF71A7">
      <w:pPr>
        <w:jc w:val="center"/>
        <w:rPr>
          <w:rFonts w:ascii="Arial" w:hAnsi="Arial" w:cs="Arial"/>
          <w:b/>
          <w:bCs/>
          <w:sz w:val="28"/>
          <w:szCs w:val="28"/>
        </w:rPr>
      </w:pPr>
      <w:r>
        <w:rPr>
          <w:rFonts w:ascii="Arial" w:hAnsi="Arial" w:cs="Arial"/>
          <w:b/>
          <w:bCs/>
          <w:sz w:val="28"/>
          <w:szCs w:val="28"/>
        </w:rPr>
        <w:t>Melanie Yazmin Varela Jaramillo. #20</w:t>
      </w:r>
    </w:p>
    <w:p w14:paraId="73350885" w14:textId="77777777" w:rsidR="00EF71A7" w:rsidRDefault="00EF71A7" w:rsidP="00CD116C">
      <w:pPr>
        <w:jc w:val="center"/>
        <w:rPr>
          <w:rFonts w:ascii="Arial" w:hAnsi="Arial" w:cs="Arial"/>
          <w:b/>
          <w:bCs/>
          <w:sz w:val="28"/>
          <w:szCs w:val="28"/>
        </w:rPr>
      </w:pPr>
    </w:p>
    <w:p w14:paraId="5A64D3C3" w14:textId="06472A79"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Segundo semestre.       Sección C.</w:t>
      </w:r>
    </w:p>
    <w:p w14:paraId="0F39EC4F" w14:textId="3F852C8E" w:rsidR="00CD116C" w:rsidRPr="00CD116C" w:rsidRDefault="00CD116C" w:rsidP="00CD116C">
      <w:pPr>
        <w:jc w:val="center"/>
        <w:rPr>
          <w:rFonts w:ascii="Arial" w:hAnsi="Arial" w:cs="Arial"/>
          <w:b/>
          <w:bCs/>
          <w:sz w:val="28"/>
          <w:szCs w:val="28"/>
        </w:rPr>
      </w:pPr>
      <w:r w:rsidRPr="00CD116C">
        <w:rPr>
          <w:rFonts w:ascii="Arial" w:hAnsi="Arial" w:cs="Arial"/>
          <w:b/>
          <w:bCs/>
          <w:sz w:val="28"/>
          <w:szCs w:val="28"/>
        </w:rPr>
        <w:t xml:space="preserve">Unidad 3. </w:t>
      </w:r>
    </w:p>
    <w:p w14:paraId="0F9BCBD5" w14:textId="77777777" w:rsidR="00CD116C" w:rsidRDefault="00CD116C" w:rsidP="00CD116C">
      <w:r w:rsidRPr="00CD116C">
        <w:rPr>
          <w:b/>
          <w:bCs/>
        </w:rPr>
        <w:t>Competencias de la unidad de aprendizaje:</w:t>
      </w:r>
      <w: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p w14:paraId="6183B14A" w14:textId="66E76F29" w:rsidR="00CD116C" w:rsidRDefault="00CD116C" w:rsidP="00CD116C">
      <w:pPr>
        <w:rPr>
          <w:rFonts w:ascii="Arial" w:hAnsi="Arial" w:cs="Arial"/>
          <w:b/>
          <w:bCs/>
          <w:sz w:val="40"/>
          <w:szCs w:val="40"/>
        </w:rPr>
      </w:pPr>
      <w:r w:rsidRPr="00CD116C">
        <w:rPr>
          <w:b/>
          <w:bCs/>
        </w:rPr>
        <w:t>Propósito de la unidad de aprendizaje</w:t>
      </w:r>
      <w:r>
        <w:rPr>
          <w:b/>
          <w:bCs/>
        </w:rPr>
        <w:t>:</w:t>
      </w:r>
      <w:r>
        <w:t xml:space="preserve"> 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14353D80" w14:textId="183B8658" w:rsidR="00CD116C" w:rsidRPr="00CD116C" w:rsidRDefault="00CD116C" w:rsidP="00CD116C">
      <w:pPr>
        <w:jc w:val="right"/>
        <w:rPr>
          <w:rFonts w:ascii="Arial" w:hAnsi="Arial" w:cs="Arial"/>
          <w:b/>
          <w:bCs/>
          <w:sz w:val="20"/>
          <w:szCs w:val="20"/>
        </w:rPr>
      </w:pPr>
      <w:r w:rsidRPr="00CD116C">
        <w:rPr>
          <w:rFonts w:ascii="Arial" w:hAnsi="Arial" w:cs="Arial"/>
          <w:b/>
          <w:bCs/>
          <w:sz w:val="20"/>
          <w:szCs w:val="20"/>
        </w:rPr>
        <w:t>Junio del 2021.</w:t>
      </w:r>
    </w:p>
    <w:p w14:paraId="59851444" w14:textId="77777777" w:rsidR="00CD116C" w:rsidRPr="00CD116C" w:rsidRDefault="00CD116C" w:rsidP="00CD116C">
      <w:pPr>
        <w:jc w:val="right"/>
        <w:rPr>
          <w:rFonts w:ascii="Arial" w:hAnsi="Arial" w:cs="Arial"/>
          <w:b/>
          <w:bCs/>
          <w:sz w:val="20"/>
          <w:szCs w:val="20"/>
        </w:rPr>
      </w:pPr>
      <w:r w:rsidRPr="00CD116C">
        <w:rPr>
          <w:rFonts w:ascii="Arial" w:hAnsi="Arial" w:cs="Arial"/>
          <w:b/>
          <w:bCs/>
          <w:sz w:val="20"/>
          <w:szCs w:val="20"/>
        </w:rPr>
        <w:t>Saltillo, Coahuila, México.</w:t>
      </w:r>
    </w:p>
    <w:p w14:paraId="334F9FC0" w14:textId="58C5E8BA" w:rsidR="00ED6FF2" w:rsidRPr="00256873" w:rsidRDefault="00256873">
      <w:pPr>
        <w:rPr>
          <w:rFonts w:ascii="Century Gothic" w:hAnsi="Century Gothic"/>
          <w:b/>
          <w:bCs/>
          <w:sz w:val="28"/>
          <w:szCs w:val="28"/>
        </w:rPr>
      </w:pPr>
      <w:r w:rsidRPr="00256873">
        <w:rPr>
          <w:rFonts w:ascii="Century Gothic" w:hAnsi="Century Gothic"/>
          <w:b/>
          <w:bCs/>
          <w:sz w:val="28"/>
          <w:szCs w:val="28"/>
        </w:rPr>
        <w:t xml:space="preserve">Eje: forma, espacio y medida. </w:t>
      </w:r>
    </w:p>
    <w:p w14:paraId="5E724CB8" w14:textId="18C9D3D7" w:rsidR="00256873" w:rsidRPr="00256873" w:rsidRDefault="00256873">
      <w:pPr>
        <w:rPr>
          <w:rFonts w:ascii="Century Gothic" w:hAnsi="Century Gothic"/>
          <w:b/>
          <w:bCs/>
          <w:sz w:val="28"/>
          <w:szCs w:val="28"/>
        </w:rPr>
      </w:pPr>
      <w:r w:rsidRPr="00256873">
        <w:rPr>
          <w:rFonts w:ascii="Century Gothic" w:hAnsi="Century Gothic"/>
          <w:b/>
          <w:bCs/>
          <w:sz w:val="28"/>
          <w:szCs w:val="28"/>
        </w:rPr>
        <w:t xml:space="preserve">Tema: magnitudes y medidas. </w:t>
      </w:r>
    </w:p>
    <w:tbl>
      <w:tblPr>
        <w:tblStyle w:val="Tablaconcuadrcula"/>
        <w:tblW w:w="13320" w:type="dxa"/>
        <w:jc w:val="center"/>
        <w:tblLook w:val="04A0" w:firstRow="1" w:lastRow="0" w:firstColumn="1" w:lastColumn="0" w:noHBand="0" w:noVBand="1"/>
      </w:tblPr>
      <w:tblGrid>
        <w:gridCol w:w="2693"/>
        <w:gridCol w:w="2450"/>
        <w:gridCol w:w="2425"/>
        <w:gridCol w:w="2826"/>
        <w:gridCol w:w="2926"/>
      </w:tblGrid>
      <w:tr w:rsidR="00AF57D8" w:rsidRPr="00724BBA" w14:paraId="0E4509B3" w14:textId="0A8734DB" w:rsidTr="00A72685">
        <w:trPr>
          <w:jc w:val="center"/>
        </w:trPr>
        <w:tc>
          <w:tcPr>
            <w:tcW w:w="2693" w:type="dxa"/>
            <w:shd w:val="clear" w:color="auto" w:fill="9CC2E5" w:themeFill="accent5" w:themeFillTint="99"/>
          </w:tcPr>
          <w:p w14:paraId="0AB3E0EF" w14:textId="3D633D17"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Aprendizajes esperados</w:t>
            </w:r>
          </w:p>
        </w:tc>
        <w:tc>
          <w:tcPr>
            <w:tcW w:w="2450" w:type="dxa"/>
            <w:shd w:val="clear" w:color="auto" w:fill="9CC2E5" w:themeFill="accent5" w:themeFillTint="99"/>
          </w:tcPr>
          <w:p w14:paraId="31C8DE9B" w14:textId="798CBCC6"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Nivel de profundidad</w:t>
            </w:r>
          </w:p>
        </w:tc>
        <w:tc>
          <w:tcPr>
            <w:tcW w:w="2425" w:type="dxa"/>
            <w:shd w:val="clear" w:color="auto" w:fill="9CC2E5" w:themeFill="accent5" w:themeFillTint="99"/>
          </w:tcPr>
          <w:p w14:paraId="0210B97A" w14:textId="6C92BB64"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¿Qué deben saber?</w:t>
            </w:r>
          </w:p>
        </w:tc>
        <w:tc>
          <w:tcPr>
            <w:tcW w:w="2826" w:type="dxa"/>
            <w:shd w:val="clear" w:color="auto" w:fill="9CC2E5" w:themeFill="accent5" w:themeFillTint="99"/>
          </w:tcPr>
          <w:p w14:paraId="56A836A4" w14:textId="321787AD"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¿Qué deben hacer?</w:t>
            </w:r>
          </w:p>
        </w:tc>
        <w:tc>
          <w:tcPr>
            <w:tcW w:w="2926" w:type="dxa"/>
            <w:shd w:val="clear" w:color="auto" w:fill="9CC2E5" w:themeFill="accent5" w:themeFillTint="99"/>
          </w:tcPr>
          <w:p w14:paraId="00035DE0" w14:textId="752A9528" w:rsidR="00CD116C" w:rsidRPr="00724BBA" w:rsidRDefault="00CD116C" w:rsidP="00256873">
            <w:pPr>
              <w:jc w:val="center"/>
              <w:rPr>
                <w:rFonts w:ascii="Century Gothic" w:hAnsi="Century Gothic"/>
                <w:b/>
                <w:bCs/>
                <w:sz w:val="24"/>
                <w:szCs w:val="24"/>
              </w:rPr>
            </w:pPr>
            <w:r w:rsidRPr="00724BBA">
              <w:rPr>
                <w:rFonts w:ascii="Century Gothic" w:hAnsi="Century Gothic"/>
                <w:b/>
                <w:bCs/>
                <w:sz w:val="24"/>
                <w:szCs w:val="24"/>
              </w:rPr>
              <w:t xml:space="preserve">Argumentación teórica </w:t>
            </w:r>
          </w:p>
        </w:tc>
      </w:tr>
      <w:tr w:rsidR="00AF57D8" w:rsidRPr="00724BBA" w14:paraId="27165E93" w14:textId="1C350337" w:rsidTr="00A72685">
        <w:trPr>
          <w:jc w:val="center"/>
        </w:trPr>
        <w:tc>
          <w:tcPr>
            <w:tcW w:w="2693" w:type="dxa"/>
            <w:shd w:val="clear" w:color="auto" w:fill="E2EFD9" w:themeFill="accent6" w:themeFillTint="33"/>
          </w:tcPr>
          <w:p w14:paraId="0991D386" w14:textId="179F4BCF"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Identifica la longitud de varios objetos a través de la comparación directa o mediante el uso de un intermediario.</w:t>
            </w:r>
          </w:p>
        </w:tc>
        <w:tc>
          <w:tcPr>
            <w:tcW w:w="2450" w:type="dxa"/>
            <w:shd w:val="clear" w:color="auto" w:fill="E2EFD9" w:themeFill="accent6" w:themeFillTint="33"/>
          </w:tcPr>
          <w:p w14:paraId="354A5728" w14:textId="77777777" w:rsidR="00CD116C" w:rsidRPr="00724BBA" w:rsidRDefault="00930C45" w:rsidP="00A72685">
            <w:pPr>
              <w:jc w:val="center"/>
              <w:rPr>
                <w:rFonts w:ascii="Century Gothic" w:hAnsi="Century Gothic"/>
                <w:sz w:val="24"/>
                <w:szCs w:val="24"/>
              </w:rPr>
            </w:pPr>
            <w:r w:rsidRPr="00724BBA">
              <w:rPr>
                <w:rFonts w:ascii="Century Gothic" w:hAnsi="Century Gothic"/>
                <w:sz w:val="24"/>
                <w:szCs w:val="24"/>
              </w:rPr>
              <w:t>El conocimiento de la longitud busca que el niño anticipe sus respuestas sobre las medidas sobre los objetos.</w:t>
            </w:r>
          </w:p>
          <w:p w14:paraId="3A6C77B3" w14:textId="7675F4EE" w:rsidR="00930C45" w:rsidRPr="00724BBA" w:rsidRDefault="00930C45" w:rsidP="00A72685">
            <w:pPr>
              <w:jc w:val="center"/>
              <w:rPr>
                <w:rFonts w:ascii="Century Gothic" w:hAnsi="Century Gothic"/>
                <w:sz w:val="24"/>
                <w:szCs w:val="24"/>
              </w:rPr>
            </w:pPr>
            <w:r w:rsidRPr="00724BBA">
              <w:rPr>
                <w:rFonts w:ascii="Century Gothic" w:hAnsi="Century Gothic"/>
                <w:sz w:val="24"/>
                <w:szCs w:val="24"/>
              </w:rPr>
              <w:t>Con la práctica de este tema el alumno podrá calcular las capacidades con cantidades como los litros. Dar la medida exacta de lo que se quiere ayudara que sean más precisos al momento de calcular.</w:t>
            </w:r>
          </w:p>
        </w:tc>
        <w:tc>
          <w:tcPr>
            <w:tcW w:w="2425" w:type="dxa"/>
            <w:shd w:val="clear" w:color="auto" w:fill="E2EFD9" w:themeFill="accent6" w:themeFillTint="33"/>
          </w:tcPr>
          <w:p w14:paraId="6101845F" w14:textId="77777777" w:rsidR="0002325A" w:rsidRPr="00724BBA" w:rsidRDefault="00365D76" w:rsidP="00A72685">
            <w:pPr>
              <w:jc w:val="center"/>
              <w:rPr>
                <w:rFonts w:ascii="Century Gothic" w:hAnsi="Century Gothic"/>
                <w:sz w:val="24"/>
                <w:szCs w:val="24"/>
              </w:rPr>
            </w:pPr>
            <w:r w:rsidRPr="00724BBA">
              <w:rPr>
                <w:rFonts w:ascii="Century Gothic" w:hAnsi="Century Gothic"/>
                <w:sz w:val="24"/>
                <w:szCs w:val="24"/>
              </w:rPr>
              <w:t>E</w:t>
            </w:r>
            <w:r w:rsidR="008B1263" w:rsidRPr="00724BBA">
              <w:rPr>
                <w:rFonts w:ascii="Century Gothic" w:hAnsi="Century Gothic"/>
                <w:sz w:val="24"/>
                <w:szCs w:val="24"/>
              </w:rPr>
              <w:t xml:space="preserve">l niño debe saber cómo encontrar longitudes </w:t>
            </w:r>
            <w:r w:rsidR="0002325A" w:rsidRPr="00724BBA">
              <w:rPr>
                <w:rFonts w:ascii="Century Gothic" w:hAnsi="Century Gothic"/>
                <w:sz w:val="24"/>
                <w:szCs w:val="24"/>
              </w:rPr>
              <w:t>de distintos objetos por medio de algo que les ayude a saber cuánto mide.</w:t>
            </w:r>
          </w:p>
          <w:p w14:paraId="6E38D475" w14:textId="409D87F7" w:rsidR="00CD116C" w:rsidRPr="00724BBA" w:rsidRDefault="00CD116C">
            <w:pPr>
              <w:rPr>
                <w:rFonts w:ascii="Century Gothic" w:hAnsi="Century Gothic"/>
                <w:sz w:val="24"/>
                <w:szCs w:val="24"/>
              </w:rPr>
            </w:pPr>
          </w:p>
        </w:tc>
        <w:tc>
          <w:tcPr>
            <w:tcW w:w="2826" w:type="dxa"/>
            <w:shd w:val="clear" w:color="auto" w:fill="E2EFD9" w:themeFill="accent6" w:themeFillTint="33"/>
          </w:tcPr>
          <w:p w14:paraId="2FB87AF6" w14:textId="2FC65689" w:rsidR="00CD116C"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Dar respuesta numérica y usar una unidad de medida, para responder preguntad cómo: “Para llenar el balde grande, son necesarios tres vasos medianos y un vaso pequeño”, “La tira larga mide lo mismo que dos tiras medianas y una pequeña”.</w:t>
            </w:r>
          </w:p>
          <w:p w14:paraId="5351FA12" w14:textId="772775B0" w:rsidR="00B53AE0"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Anticipar y verificar longitudes y capacidades con el uso de unidades de medida no convencionales.</w:t>
            </w:r>
          </w:p>
          <w:p w14:paraId="153B82D2" w14:textId="50F5082F" w:rsidR="00B53AE0"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Encontrar objetos o recipientes que compartan la misma longitud (en alguna de sus dimensiones) o capacidad.</w:t>
            </w:r>
          </w:p>
        </w:tc>
        <w:tc>
          <w:tcPr>
            <w:tcW w:w="2926" w:type="dxa"/>
            <w:shd w:val="clear" w:color="auto" w:fill="E2EFD9" w:themeFill="accent6" w:themeFillTint="33"/>
          </w:tcPr>
          <w:p w14:paraId="2861041D" w14:textId="77777777" w:rsidR="00CD116C" w:rsidRPr="00724BBA" w:rsidRDefault="00394C0A">
            <w:pPr>
              <w:rPr>
                <w:rFonts w:ascii="Century Gothic" w:hAnsi="Century Gothic"/>
                <w:sz w:val="24"/>
                <w:szCs w:val="24"/>
              </w:rPr>
            </w:pPr>
            <w:r w:rsidRPr="00724BBA">
              <w:rPr>
                <w:rFonts w:ascii="Century Gothic" w:hAnsi="Century Gothic"/>
                <w:sz w:val="24"/>
                <w:szCs w:val="24"/>
              </w:rPr>
              <w:t>Para iniciar a los niños en los procesos sociales de la medición, se deben brindar oportunidades para que puedan vincular aquellos conocimientos que construyeron en el entorno cotidiano con los contenidos de enseñanza y, de ese modo, ampliarlos y cargarlos de sentido. Habrá que plantear problemas que “[...] permitan comenzar a relativizar algunas certezas que los niños pequeños tienen en cuanto a las magnitudes. Los niños pequeños usan con solvencia y en forma indistinta medidas relativas a si mismos, a su tamaño, a lo que ellos creen que es “grande o chico”.</w:t>
            </w:r>
          </w:p>
          <w:p w14:paraId="38C9083C" w14:textId="2F0086FC" w:rsidR="00394C0A" w:rsidRPr="00724BBA" w:rsidRDefault="00837F64">
            <w:pPr>
              <w:rPr>
                <w:rFonts w:ascii="Century Gothic" w:hAnsi="Century Gothic"/>
                <w:sz w:val="24"/>
                <w:szCs w:val="24"/>
              </w:rPr>
            </w:pPr>
            <w:sdt>
              <w:sdtPr>
                <w:rPr>
                  <w:rFonts w:ascii="Century Gothic" w:hAnsi="Century Gothic"/>
                  <w:sz w:val="24"/>
                  <w:szCs w:val="24"/>
                </w:rPr>
                <w:id w:val="-993787508"/>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(Quaranta, 2009)</w:t>
                </w:r>
                <w:r w:rsidR="00394C0A" w:rsidRPr="00724BBA">
                  <w:rPr>
                    <w:rFonts w:ascii="Century Gothic" w:hAnsi="Century Gothic"/>
                    <w:sz w:val="24"/>
                    <w:szCs w:val="24"/>
                  </w:rPr>
                  <w:fldChar w:fldCharType="end"/>
                </w:r>
              </w:sdtContent>
            </w:sdt>
          </w:p>
        </w:tc>
      </w:tr>
      <w:tr w:rsidR="00AF57D8" w:rsidRPr="00724BBA" w14:paraId="65CB446B" w14:textId="134DB064" w:rsidTr="00A72685">
        <w:trPr>
          <w:jc w:val="center"/>
        </w:trPr>
        <w:tc>
          <w:tcPr>
            <w:tcW w:w="2693" w:type="dxa"/>
            <w:shd w:val="clear" w:color="auto" w:fill="E2EFD9" w:themeFill="accent6" w:themeFillTint="33"/>
          </w:tcPr>
          <w:p w14:paraId="5F0DC5E7" w14:textId="479FFFF7"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Compara distancias mediante el uso de un intermediario.</w:t>
            </w:r>
          </w:p>
        </w:tc>
        <w:tc>
          <w:tcPr>
            <w:tcW w:w="2450" w:type="dxa"/>
            <w:shd w:val="clear" w:color="auto" w:fill="E2EFD9" w:themeFill="accent6" w:themeFillTint="33"/>
          </w:tcPr>
          <w:p w14:paraId="3CEDDA5A" w14:textId="77777777" w:rsidR="00CD116C" w:rsidRPr="00724BBA" w:rsidRDefault="00930C45" w:rsidP="00724BBA">
            <w:pPr>
              <w:jc w:val="center"/>
              <w:rPr>
                <w:rFonts w:ascii="Century Gothic" w:hAnsi="Century Gothic"/>
                <w:sz w:val="24"/>
                <w:szCs w:val="24"/>
              </w:rPr>
            </w:pPr>
            <w:r w:rsidRPr="00724BBA">
              <w:rPr>
                <w:rFonts w:ascii="Century Gothic" w:hAnsi="Century Gothic"/>
                <w:sz w:val="24"/>
                <w:szCs w:val="24"/>
              </w:rPr>
              <w:t>Se espera que los niños establezcan diferencias entre objetos, es decir, cual está más lejos o cerca de cierto punto o lugar.</w:t>
            </w:r>
          </w:p>
          <w:p w14:paraId="2E6E1F50" w14:textId="73B7B892" w:rsidR="00930C45" w:rsidRPr="00724BBA" w:rsidRDefault="00930C45" w:rsidP="00724BBA">
            <w:pPr>
              <w:jc w:val="center"/>
              <w:rPr>
                <w:rFonts w:ascii="Century Gothic" w:hAnsi="Century Gothic"/>
                <w:sz w:val="24"/>
                <w:szCs w:val="24"/>
              </w:rPr>
            </w:pPr>
            <w:r w:rsidRPr="00724BBA">
              <w:rPr>
                <w:rFonts w:ascii="Century Gothic" w:hAnsi="Century Gothic"/>
                <w:sz w:val="24"/>
                <w:szCs w:val="24"/>
              </w:rPr>
              <w:t>También se espera que establezca diferencias entre tamaños de objetos, es decir, cual es más ancho, largo, corto.</w:t>
            </w:r>
          </w:p>
        </w:tc>
        <w:tc>
          <w:tcPr>
            <w:tcW w:w="2425" w:type="dxa"/>
            <w:shd w:val="clear" w:color="auto" w:fill="E2EFD9" w:themeFill="accent6" w:themeFillTint="33"/>
          </w:tcPr>
          <w:p w14:paraId="5F980868" w14:textId="77777777" w:rsidR="00CD116C" w:rsidRPr="00724BBA" w:rsidRDefault="00042646" w:rsidP="00724BBA">
            <w:pPr>
              <w:jc w:val="center"/>
              <w:rPr>
                <w:rFonts w:ascii="Century Gothic" w:hAnsi="Century Gothic"/>
                <w:sz w:val="24"/>
                <w:szCs w:val="24"/>
              </w:rPr>
            </w:pPr>
            <w:r w:rsidRPr="00724BBA">
              <w:rPr>
                <w:rFonts w:ascii="Century Gothic" w:hAnsi="Century Gothic"/>
                <w:sz w:val="24"/>
                <w:szCs w:val="24"/>
              </w:rPr>
              <w:t xml:space="preserve">El niño debe saber cómo buscar la medida que </w:t>
            </w:r>
            <w:r w:rsidR="008B6E61" w:rsidRPr="00724BBA">
              <w:rPr>
                <w:rFonts w:ascii="Century Gothic" w:hAnsi="Century Gothic"/>
                <w:sz w:val="24"/>
                <w:szCs w:val="24"/>
              </w:rPr>
              <w:t>existe entre dos cosas.</w:t>
            </w:r>
          </w:p>
          <w:p w14:paraId="51B40538" w14:textId="53761939" w:rsidR="008B6E61" w:rsidRPr="00724BBA" w:rsidRDefault="008B6E61" w:rsidP="00724BBA">
            <w:pPr>
              <w:jc w:val="center"/>
              <w:rPr>
                <w:rFonts w:ascii="Century Gothic" w:hAnsi="Century Gothic"/>
                <w:sz w:val="24"/>
                <w:szCs w:val="24"/>
              </w:rPr>
            </w:pPr>
            <w:r w:rsidRPr="00724BBA">
              <w:rPr>
                <w:rFonts w:ascii="Century Gothic" w:hAnsi="Century Gothic"/>
                <w:sz w:val="24"/>
                <w:szCs w:val="24"/>
              </w:rPr>
              <w:t>También debe saber cómo encontrar la longitud de algo de manera sencilla por me</w:t>
            </w:r>
            <w:r w:rsidR="00957449" w:rsidRPr="00724BBA">
              <w:rPr>
                <w:rFonts w:ascii="Century Gothic" w:hAnsi="Century Gothic"/>
                <w:sz w:val="24"/>
                <w:szCs w:val="24"/>
              </w:rPr>
              <w:t>dio de un intermediario o de manera directa</w:t>
            </w:r>
            <w:r w:rsidR="00D07846" w:rsidRPr="00724BBA">
              <w:rPr>
                <w:rFonts w:ascii="Century Gothic" w:hAnsi="Century Gothic"/>
                <w:sz w:val="24"/>
                <w:szCs w:val="24"/>
              </w:rPr>
              <w:t>.</w:t>
            </w:r>
          </w:p>
        </w:tc>
        <w:tc>
          <w:tcPr>
            <w:tcW w:w="2826" w:type="dxa"/>
            <w:shd w:val="clear" w:color="auto" w:fill="E2EFD9" w:themeFill="accent6" w:themeFillTint="33"/>
          </w:tcPr>
          <w:p w14:paraId="772306DC" w14:textId="6CF918F8" w:rsidR="00CD116C" w:rsidRPr="00724BBA" w:rsidRDefault="00B53AE0" w:rsidP="0003540D">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Comparar de manera directa la longitud y capacidad de dos objetos o recipientes.</w:t>
            </w:r>
          </w:p>
          <w:p w14:paraId="755AADD2" w14:textId="77777777" w:rsidR="00B53AE0" w:rsidRPr="00724BBA" w:rsidRDefault="00B53AE0" w:rsidP="00B0106A">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La comparación de longitudes puede hacerse de manera directa (cuando las personas u objetos se pueden juntar) o indirecta (es necesario usar un intermediario), por ejemplo, usando un cordón para averiguar “¿Qué está más lejos del pizarrón: la ventana o la puerta?”. </w:t>
            </w:r>
          </w:p>
          <w:p w14:paraId="0239284A" w14:textId="78C01DCC" w:rsidR="00CD116C" w:rsidRPr="00724BBA" w:rsidRDefault="00B53AE0" w:rsidP="00B0106A">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C</w:t>
            </w:r>
            <w:r w:rsidR="00CD116C" w:rsidRPr="00724BBA">
              <w:rPr>
                <w:rFonts w:ascii="Century Gothic" w:hAnsi="Century Gothic"/>
                <w:sz w:val="24"/>
                <w:szCs w:val="24"/>
              </w:rPr>
              <w:t xml:space="preserve">lasificar objetos, ordenarlos de mayor a menor longitud o viceversa, y descubrir cuáles son de igual longitud. </w:t>
            </w:r>
          </w:p>
        </w:tc>
        <w:tc>
          <w:tcPr>
            <w:tcW w:w="2926" w:type="dxa"/>
            <w:shd w:val="clear" w:color="auto" w:fill="E2EFD9" w:themeFill="accent6" w:themeFillTint="33"/>
          </w:tcPr>
          <w:p w14:paraId="199158AB"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Las nociones de la distancia, sostienen la idea de la conservación que conduce a un medio estable. Porque el niño se da cuenta de que el sitio ocupado por un objeto sigue teniendo la misma distancia cuando se desplaza”</w:t>
            </w:r>
          </w:p>
          <w:p w14:paraId="7803649F" w14:textId="77777777" w:rsidR="00724BBA" w:rsidRPr="00724BBA" w:rsidRDefault="00837F64" w:rsidP="00724BBA">
            <w:pPr>
              <w:jc w:val="right"/>
              <w:rPr>
                <w:rFonts w:ascii="Century Gothic" w:hAnsi="Century Gothic"/>
                <w:i/>
                <w:sz w:val="24"/>
                <w:szCs w:val="24"/>
              </w:rPr>
            </w:pPr>
            <w:sdt>
              <w:sdtPr>
                <w:rPr>
                  <w:rFonts w:ascii="Century Gothic" w:hAnsi="Century Gothic"/>
                  <w:i/>
                  <w:sz w:val="24"/>
                  <w:szCs w:val="24"/>
                </w:rPr>
                <w:id w:val="-1572720027"/>
                <w:citation/>
              </w:sdtPr>
              <w:sdtEndPr/>
              <w:sdtContent>
                <w:r w:rsidR="00724BBA" w:rsidRPr="00724BBA">
                  <w:rPr>
                    <w:rFonts w:ascii="Century Gothic" w:hAnsi="Century Gothic"/>
                    <w:i/>
                    <w:sz w:val="24"/>
                    <w:szCs w:val="24"/>
                  </w:rPr>
                  <w:fldChar w:fldCharType="begin"/>
                </w:r>
                <w:r w:rsidR="00724BBA" w:rsidRPr="00724BBA">
                  <w:rPr>
                    <w:rFonts w:ascii="Century Gothic" w:hAnsi="Century Gothic"/>
                    <w:i/>
                    <w:sz w:val="24"/>
                    <w:szCs w:val="24"/>
                  </w:rPr>
                  <w:instrText xml:space="preserve"> CITATION KLo99 \l 3082 </w:instrText>
                </w:r>
                <w:r w:rsidR="00724BBA" w:rsidRPr="00724BBA">
                  <w:rPr>
                    <w:rFonts w:ascii="Century Gothic" w:hAnsi="Century Gothic"/>
                    <w:i/>
                    <w:sz w:val="24"/>
                    <w:szCs w:val="24"/>
                  </w:rPr>
                  <w:fldChar w:fldCharType="separate"/>
                </w:r>
                <w:r w:rsidR="00724BBA" w:rsidRPr="00724BBA">
                  <w:rPr>
                    <w:rFonts w:ascii="Century Gothic" w:hAnsi="Century Gothic"/>
                    <w:noProof/>
                    <w:sz w:val="24"/>
                    <w:szCs w:val="24"/>
                  </w:rPr>
                  <w:t>(K.Lovell, 1999)</w:t>
                </w:r>
                <w:r w:rsidR="00724BBA" w:rsidRPr="00724BBA">
                  <w:rPr>
                    <w:rFonts w:ascii="Century Gothic" w:hAnsi="Century Gothic"/>
                    <w:i/>
                    <w:sz w:val="24"/>
                    <w:szCs w:val="24"/>
                  </w:rPr>
                  <w:fldChar w:fldCharType="end"/>
                </w:r>
              </w:sdtContent>
            </w:sdt>
          </w:p>
          <w:p w14:paraId="2674AC2B" w14:textId="77777777" w:rsidR="00CD116C" w:rsidRPr="00724BBA" w:rsidRDefault="00CD116C" w:rsidP="0003540D">
            <w:pPr>
              <w:rPr>
                <w:rFonts w:ascii="Century Gothic" w:hAnsi="Century Gothic"/>
                <w:sz w:val="24"/>
                <w:szCs w:val="24"/>
              </w:rPr>
            </w:pPr>
          </w:p>
        </w:tc>
      </w:tr>
      <w:tr w:rsidR="00AF57D8" w:rsidRPr="00724BBA" w14:paraId="2B6114D7" w14:textId="64FDBE2B" w:rsidTr="00A72685">
        <w:trPr>
          <w:jc w:val="center"/>
        </w:trPr>
        <w:tc>
          <w:tcPr>
            <w:tcW w:w="2693" w:type="dxa"/>
            <w:shd w:val="clear" w:color="auto" w:fill="E2EFD9" w:themeFill="accent6" w:themeFillTint="33"/>
          </w:tcPr>
          <w:p w14:paraId="1BD535C7" w14:textId="155292F0"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Mide objetos o distancias mediante el uso de unidades no convencionales.</w:t>
            </w:r>
          </w:p>
        </w:tc>
        <w:tc>
          <w:tcPr>
            <w:tcW w:w="2450" w:type="dxa"/>
            <w:shd w:val="clear" w:color="auto" w:fill="E2EFD9" w:themeFill="accent6" w:themeFillTint="33"/>
          </w:tcPr>
          <w:p w14:paraId="5D7CC68B" w14:textId="6A30BDBC" w:rsidR="00CD116C" w:rsidRPr="00724BBA" w:rsidRDefault="00930C45" w:rsidP="00724BBA">
            <w:pPr>
              <w:jc w:val="center"/>
              <w:rPr>
                <w:rFonts w:ascii="Century Gothic" w:hAnsi="Century Gothic"/>
                <w:sz w:val="24"/>
                <w:szCs w:val="24"/>
              </w:rPr>
            </w:pPr>
            <w:r w:rsidRPr="00724BBA">
              <w:rPr>
                <w:rFonts w:ascii="Century Gothic" w:hAnsi="Century Gothic"/>
                <w:sz w:val="24"/>
                <w:szCs w:val="24"/>
              </w:rPr>
              <w:t>Los niños deben primero comprender el uso de la medición con unidades no convencionales para poder aplicarlas en su vida y cuales recursos se pueden utilizar para medir.</w:t>
            </w:r>
          </w:p>
        </w:tc>
        <w:tc>
          <w:tcPr>
            <w:tcW w:w="2425" w:type="dxa"/>
            <w:shd w:val="clear" w:color="auto" w:fill="E2EFD9" w:themeFill="accent6" w:themeFillTint="33"/>
          </w:tcPr>
          <w:p w14:paraId="16D9A5A1" w14:textId="06257F44" w:rsidR="00CD116C" w:rsidRPr="00724BBA" w:rsidRDefault="00B3519A"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930C45" w:rsidRPr="00724BBA">
              <w:rPr>
                <w:rFonts w:ascii="Century Gothic" w:hAnsi="Century Gothic"/>
                <w:sz w:val="24"/>
                <w:szCs w:val="24"/>
              </w:rPr>
              <w:t>cómo</w:t>
            </w:r>
            <w:r w:rsidRPr="00724BBA">
              <w:rPr>
                <w:rFonts w:ascii="Century Gothic" w:hAnsi="Century Gothic"/>
                <w:sz w:val="24"/>
                <w:szCs w:val="24"/>
              </w:rPr>
              <w:t xml:space="preserve"> medir las distancias que existen entre las cosas por medio de las unidades </w:t>
            </w:r>
            <w:r w:rsidR="00116F8A" w:rsidRPr="00724BBA">
              <w:rPr>
                <w:rFonts w:ascii="Century Gothic" w:hAnsi="Century Gothic"/>
                <w:sz w:val="24"/>
                <w:szCs w:val="24"/>
              </w:rPr>
              <w:t>no convencionales, por ejemplo, “el escritorio está a cinco pies de mi silla”.</w:t>
            </w:r>
          </w:p>
        </w:tc>
        <w:tc>
          <w:tcPr>
            <w:tcW w:w="2826" w:type="dxa"/>
            <w:shd w:val="clear" w:color="auto" w:fill="E2EFD9" w:themeFill="accent6" w:themeFillTint="33"/>
          </w:tcPr>
          <w:p w14:paraId="0F10524D" w14:textId="0F8918AA"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Reconocer la longitud y la capacidad mayor, igual o menor entre dos objetos o puntos, y entre recipientes.</w:t>
            </w:r>
          </w:p>
          <w:p w14:paraId="36B3D0E1" w14:textId="190D5418"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Dar respuesta numérica y usar una unidad de medida, para responder preguntad cómo: “Para llenar el balde grande, son necesarios tres vasos medianos y un vaso pequeño”, “La tira larga mide lo mismo que dos tiras medianas y una pequeña”.</w:t>
            </w:r>
          </w:p>
        </w:tc>
        <w:tc>
          <w:tcPr>
            <w:tcW w:w="2926" w:type="dxa"/>
            <w:shd w:val="clear" w:color="auto" w:fill="E2EFD9" w:themeFill="accent6" w:themeFillTint="33"/>
          </w:tcPr>
          <w:p w14:paraId="544B328E" w14:textId="77777777" w:rsidR="00CD116C" w:rsidRPr="00724BBA" w:rsidRDefault="00394C0A">
            <w:pPr>
              <w:rPr>
                <w:rFonts w:ascii="Century Gothic" w:hAnsi="Century Gothic"/>
                <w:sz w:val="24"/>
                <w:szCs w:val="24"/>
              </w:rPr>
            </w:pPr>
            <w:r w:rsidRPr="00724BBA">
              <w:rPr>
                <w:rFonts w:ascii="Century Gothic" w:hAnsi="Century Gothic"/>
                <w:sz w:val="24"/>
                <w:szCs w:val="24"/>
              </w:rPr>
              <w:t>La humanidad, frente a la necesidad de cuantificación de un todo homogéneo, una cantidad continua, ha ido estableciendo, históricamente, distintas unidades de medida creando diferentes instrumentos de medición según los problemas que se le presentaron. Propiciar situaciones en las que sea necesario medir, coloca a los niños frente a la posibilidad de utilizar unidades de medida pertinentes y reconocer los instrumentos que se usan en las situaciones sociales</w:t>
            </w:r>
          </w:p>
          <w:p w14:paraId="75755B93" w14:textId="6C4602E3" w:rsidR="00394C0A" w:rsidRPr="00724BBA" w:rsidRDefault="00837F64">
            <w:pPr>
              <w:rPr>
                <w:rFonts w:ascii="Century Gothic" w:hAnsi="Century Gothic"/>
                <w:sz w:val="24"/>
                <w:szCs w:val="24"/>
              </w:rPr>
            </w:pPr>
            <w:sdt>
              <w:sdtPr>
                <w:rPr>
                  <w:rFonts w:ascii="Century Gothic" w:hAnsi="Century Gothic"/>
                  <w:sz w:val="24"/>
                  <w:szCs w:val="24"/>
                </w:rPr>
                <w:id w:val="-1707709020"/>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(Quaranta, 2009)</w:t>
                </w:r>
                <w:r w:rsidR="00394C0A" w:rsidRPr="00724BBA">
                  <w:rPr>
                    <w:rFonts w:ascii="Century Gothic" w:hAnsi="Century Gothic"/>
                    <w:sz w:val="24"/>
                    <w:szCs w:val="24"/>
                  </w:rPr>
                  <w:fldChar w:fldCharType="end"/>
                </w:r>
              </w:sdtContent>
            </w:sdt>
          </w:p>
        </w:tc>
      </w:tr>
      <w:tr w:rsidR="00AF57D8" w:rsidRPr="00724BBA" w14:paraId="5385886F" w14:textId="3246FC15" w:rsidTr="00A72685">
        <w:trPr>
          <w:jc w:val="center"/>
        </w:trPr>
        <w:tc>
          <w:tcPr>
            <w:tcW w:w="2693" w:type="dxa"/>
            <w:shd w:val="clear" w:color="auto" w:fill="E2EFD9" w:themeFill="accent6" w:themeFillTint="33"/>
          </w:tcPr>
          <w:p w14:paraId="2DA04D00" w14:textId="2E9E00DB"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Usa expresiones temporales y representaciones gráficas para explicar la sucesión de eventos.</w:t>
            </w:r>
          </w:p>
        </w:tc>
        <w:tc>
          <w:tcPr>
            <w:tcW w:w="2450" w:type="dxa"/>
            <w:shd w:val="clear" w:color="auto" w:fill="E2EFD9" w:themeFill="accent6" w:themeFillTint="33"/>
          </w:tcPr>
          <w:p w14:paraId="79B6D54F" w14:textId="6AEBC982"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El alumno deberá identificar y conocer en que día se encuentra, hora o mes conociendo que estos tienen un orden y nombre especifico.</w:t>
            </w:r>
          </w:p>
        </w:tc>
        <w:tc>
          <w:tcPr>
            <w:tcW w:w="2425" w:type="dxa"/>
            <w:shd w:val="clear" w:color="auto" w:fill="E2EFD9" w:themeFill="accent6" w:themeFillTint="33"/>
          </w:tcPr>
          <w:p w14:paraId="6070C6FF" w14:textId="77777777" w:rsidR="00CD116C" w:rsidRPr="00724BBA" w:rsidRDefault="00816EFD"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9D4EBB" w:rsidRPr="00724BBA">
              <w:rPr>
                <w:rFonts w:ascii="Century Gothic" w:hAnsi="Century Gothic"/>
                <w:sz w:val="24"/>
                <w:szCs w:val="24"/>
              </w:rPr>
              <w:t>cómo organizar el tiempo semanal o por mes.</w:t>
            </w:r>
          </w:p>
          <w:p w14:paraId="76222F82" w14:textId="01613EB7" w:rsidR="009D4EBB" w:rsidRPr="00724BBA" w:rsidRDefault="009D4EBB" w:rsidP="00724BBA">
            <w:pPr>
              <w:jc w:val="center"/>
              <w:rPr>
                <w:rFonts w:ascii="Century Gothic" w:hAnsi="Century Gothic"/>
                <w:sz w:val="24"/>
                <w:szCs w:val="24"/>
              </w:rPr>
            </w:pPr>
            <w:r w:rsidRPr="00724BBA">
              <w:rPr>
                <w:rFonts w:ascii="Century Gothic" w:hAnsi="Century Gothic"/>
                <w:sz w:val="24"/>
                <w:szCs w:val="24"/>
              </w:rPr>
              <w:t>También debe saber identificar qué actividades se realizan en el horario de escuela, por ejemplo, que se hace a la hora de receso, o después de entrar a los salones, etc.</w:t>
            </w:r>
          </w:p>
        </w:tc>
        <w:tc>
          <w:tcPr>
            <w:tcW w:w="2826" w:type="dxa"/>
            <w:shd w:val="clear" w:color="auto" w:fill="E2EFD9" w:themeFill="accent6" w:themeFillTint="33"/>
          </w:tcPr>
          <w:p w14:paraId="0B5B7DA6" w14:textId="77777777"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Ordenar actividades de arriba hacia abajo en una columna en función del tiempo de un día. </w:t>
            </w:r>
          </w:p>
          <w:p w14:paraId="0508ADF1" w14:textId="66E06584"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Organizar el tiempo de una semana y un mes en una tabla, registrando eventos que son familiares e identificando secuencias y repetición de sucesos.</w:t>
            </w:r>
          </w:p>
          <w:p w14:paraId="7EC517D3" w14:textId="042F06D1"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Hacer registros alusivos a las actividades que </w:t>
            </w:r>
            <w:r w:rsidRPr="00724BBA">
              <w:rPr>
                <w:rFonts w:ascii="Century Gothic" w:hAnsi="Century Gothic"/>
                <w:sz w:val="24"/>
                <w:szCs w:val="24"/>
              </w:rPr>
              <w:t>acostumbran a</w:t>
            </w:r>
            <w:r w:rsidR="00CD116C" w:rsidRPr="00724BBA">
              <w:rPr>
                <w:rFonts w:ascii="Century Gothic" w:hAnsi="Century Gothic"/>
                <w:sz w:val="24"/>
                <w:szCs w:val="24"/>
              </w:rPr>
              <w:t xml:space="preserve"> hacer en la escuela y el salón cierto día de la semana, entre ellas la entrada, el recreo y la salida. </w:t>
            </w:r>
          </w:p>
          <w:p w14:paraId="18857927" w14:textId="60786E37"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 xml:space="preserve">Responder preguntas </w:t>
            </w:r>
            <w:r w:rsidR="00CD116C" w:rsidRPr="00724BBA">
              <w:rPr>
                <w:rFonts w:ascii="Century Gothic" w:hAnsi="Century Gothic"/>
                <w:sz w:val="24"/>
                <w:szCs w:val="24"/>
              </w:rPr>
              <w:t xml:space="preserve">como “¿Qué actividades se realizan después de la entrada?”, ¿Qué actividades se realizan antes de la salida?”, “¿Qué actividades hicimos hoy antes de salir a recreo? “Entrada”, “Recreo” o “Salida” para organizar los dibujos. </w:t>
            </w:r>
          </w:p>
        </w:tc>
        <w:tc>
          <w:tcPr>
            <w:tcW w:w="2926" w:type="dxa"/>
            <w:shd w:val="clear" w:color="auto" w:fill="E2EFD9" w:themeFill="accent6" w:themeFillTint="33"/>
          </w:tcPr>
          <w:p w14:paraId="59216DC6"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“Si bien el tiempo es la magnitud más difícil de medir es importante que el docente plantee</w:t>
            </w:r>
          </w:p>
          <w:p w14:paraId="727D3445"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actividades con la intención de que ayuden a construir la noción de tiempo en los niños. Así, por ejemplo, señalar</w:t>
            </w:r>
          </w:p>
          <w:p w14:paraId="484B381F"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en un calendario los días de semana que van al jardín, los días que alguien cumple años contribuye a que</w:t>
            </w:r>
          </w:p>
          <w:p w14:paraId="08B4DD40"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los niños vayan situándose en el tiempo”</w:t>
            </w:r>
          </w:p>
          <w:p w14:paraId="684177D6" w14:textId="1D988784" w:rsidR="00CD116C" w:rsidRPr="00724BBA" w:rsidRDefault="00837F64" w:rsidP="00724BBA">
            <w:pPr>
              <w:rPr>
                <w:rFonts w:ascii="Century Gothic" w:hAnsi="Century Gothic"/>
                <w:sz w:val="24"/>
                <w:szCs w:val="24"/>
              </w:rPr>
            </w:pPr>
            <w:sdt>
              <w:sdtPr>
                <w:rPr>
                  <w:rFonts w:ascii="Century Gothic" w:hAnsi="Century Gothic"/>
                  <w:i/>
                  <w:sz w:val="24"/>
                  <w:szCs w:val="24"/>
                </w:rPr>
                <w:id w:val="1566841597"/>
                <w:citation/>
              </w:sdtPr>
              <w:sdtEndPr/>
              <w:sdtContent>
                <w:r w:rsidR="00724BBA" w:rsidRPr="00724BBA">
                  <w:rPr>
                    <w:rFonts w:ascii="Century Gothic" w:hAnsi="Century Gothic"/>
                    <w:i/>
                    <w:sz w:val="24"/>
                    <w:szCs w:val="24"/>
                  </w:rPr>
                  <w:fldChar w:fldCharType="begin"/>
                </w:r>
                <w:r w:rsidR="00724BBA" w:rsidRPr="00724BBA">
                  <w:rPr>
                    <w:rFonts w:ascii="Century Gothic" w:hAnsi="Century Gothic"/>
                    <w:i/>
                    <w:sz w:val="24"/>
                    <w:szCs w:val="24"/>
                  </w:rPr>
                  <w:instrText xml:space="preserve"> CITATION Qua \l 3082 </w:instrText>
                </w:r>
                <w:r w:rsidR="00724BBA" w:rsidRPr="00724BBA">
                  <w:rPr>
                    <w:rFonts w:ascii="Century Gothic" w:hAnsi="Century Gothic"/>
                    <w:i/>
                    <w:sz w:val="24"/>
                    <w:szCs w:val="24"/>
                  </w:rPr>
                  <w:fldChar w:fldCharType="separate"/>
                </w:r>
                <w:r w:rsidR="00724BBA" w:rsidRPr="00724BBA">
                  <w:rPr>
                    <w:rFonts w:ascii="Century Gothic" w:hAnsi="Century Gothic"/>
                    <w:noProof/>
                    <w:sz w:val="24"/>
                    <w:szCs w:val="24"/>
                  </w:rPr>
                  <w:t>(Quaranta &amp; Ozon)</w:t>
                </w:r>
                <w:r w:rsidR="00724BBA" w:rsidRPr="00724BBA">
                  <w:rPr>
                    <w:rFonts w:ascii="Century Gothic" w:hAnsi="Century Gothic"/>
                    <w:i/>
                    <w:sz w:val="24"/>
                    <w:szCs w:val="24"/>
                  </w:rPr>
                  <w:fldChar w:fldCharType="end"/>
                </w:r>
              </w:sdtContent>
            </w:sdt>
          </w:p>
        </w:tc>
      </w:tr>
      <w:tr w:rsidR="00AF57D8" w:rsidRPr="00724BBA" w14:paraId="7A189893" w14:textId="329F2E26" w:rsidTr="00A72685">
        <w:trPr>
          <w:jc w:val="center"/>
        </w:trPr>
        <w:tc>
          <w:tcPr>
            <w:tcW w:w="2693" w:type="dxa"/>
            <w:shd w:val="clear" w:color="auto" w:fill="E2EFD9" w:themeFill="accent6" w:themeFillTint="33"/>
          </w:tcPr>
          <w:p w14:paraId="791E6806" w14:textId="4A53DFCD"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Usa unidades no convencionales para medir la capacidad con distintos propósitos.</w:t>
            </w:r>
          </w:p>
        </w:tc>
        <w:tc>
          <w:tcPr>
            <w:tcW w:w="2450" w:type="dxa"/>
            <w:shd w:val="clear" w:color="auto" w:fill="E2EFD9" w:themeFill="accent6" w:themeFillTint="33"/>
          </w:tcPr>
          <w:p w14:paraId="1E89B86D" w14:textId="5CA03DD1"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Conocer el uso de unidades no convencionales permitirá al alumno medir objetos del aula, de su casa ya que estos facilitarán  la medición.</w:t>
            </w:r>
          </w:p>
        </w:tc>
        <w:tc>
          <w:tcPr>
            <w:tcW w:w="2425" w:type="dxa"/>
            <w:shd w:val="clear" w:color="auto" w:fill="E2EFD9" w:themeFill="accent6" w:themeFillTint="33"/>
          </w:tcPr>
          <w:p w14:paraId="2474E605" w14:textId="6B267262" w:rsidR="00CD116C" w:rsidRPr="00724BBA" w:rsidRDefault="001118A7" w:rsidP="00724BBA">
            <w:pPr>
              <w:jc w:val="center"/>
              <w:rPr>
                <w:rFonts w:ascii="Century Gothic" w:hAnsi="Century Gothic"/>
                <w:sz w:val="24"/>
                <w:szCs w:val="24"/>
              </w:rPr>
            </w:pPr>
            <w:r w:rsidRPr="00724BBA">
              <w:rPr>
                <w:rFonts w:ascii="Century Gothic" w:hAnsi="Century Gothic"/>
                <w:sz w:val="24"/>
                <w:szCs w:val="24"/>
              </w:rPr>
              <w:t xml:space="preserve">El niño debe de saber </w:t>
            </w:r>
            <w:r w:rsidR="00AF57D8" w:rsidRPr="00724BBA">
              <w:rPr>
                <w:rFonts w:ascii="Century Gothic" w:hAnsi="Century Gothic"/>
                <w:sz w:val="24"/>
                <w:szCs w:val="24"/>
              </w:rPr>
              <w:t xml:space="preserve">cómo usar algún recurso de medición </w:t>
            </w:r>
            <w:r w:rsidR="00427258" w:rsidRPr="00724BBA">
              <w:rPr>
                <w:rFonts w:ascii="Century Gothic" w:hAnsi="Century Gothic"/>
                <w:sz w:val="24"/>
                <w:szCs w:val="24"/>
              </w:rPr>
              <w:t xml:space="preserve"> para poder obtener cuanta capacidad </w:t>
            </w:r>
            <w:r w:rsidR="00BB0D0B" w:rsidRPr="00724BBA">
              <w:rPr>
                <w:rFonts w:ascii="Century Gothic" w:hAnsi="Century Gothic"/>
                <w:sz w:val="24"/>
                <w:szCs w:val="24"/>
              </w:rPr>
              <w:t>tiene algún recipiente.</w:t>
            </w:r>
          </w:p>
        </w:tc>
        <w:tc>
          <w:tcPr>
            <w:tcW w:w="2826" w:type="dxa"/>
            <w:shd w:val="clear" w:color="auto" w:fill="E2EFD9" w:themeFill="accent6" w:themeFillTint="33"/>
          </w:tcPr>
          <w:p w14:paraId="611C1615" w14:textId="75390088"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Experimentar con el uso de unidades de medida no convencionales para obtener el largo, ancho o alto de un objeto; la estatura de una persona; la distancia entre dos puntos determinados o la capacidad de un recipiente.</w:t>
            </w:r>
          </w:p>
          <w:p w14:paraId="33A91F0A" w14:textId="08BE47D7"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Ordenar y comparar recipientes (sean de forma similar o distinta) de mayor, menor o igual capacidad a partir del trasvasado. Las estimaciones pueden ser acerca de “¿A qué recipiente le cabrá más arena?”, “¿Cuántos vasos pequeños se necesitarán para llenar el vaso grande?”, o viceversa: “¿Cuántos vasos de gelatina se podrán servir con el líquido que contiene la jarra grande? por ejemplo; estas deberán ser seguidas de la comprobación: “¿Cómo podemos saber a qué recipiente le cabe más?”</w:t>
            </w:r>
          </w:p>
        </w:tc>
        <w:tc>
          <w:tcPr>
            <w:tcW w:w="2926" w:type="dxa"/>
            <w:shd w:val="clear" w:color="auto" w:fill="E2EFD9" w:themeFill="accent6" w:themeFillTint="33"/>
          </w:tcPr>
          <w:p w14:paraId="1FBA46BE" w14:textId="214AC125" w:rsidR="00CD116C" w:rsidRPr="00724BBA" w:rsidRDefault="00660E96" w:rsidP="00660E96">
            <w:pPr>
              <w:rPr>
                <w:rFonts w:ascii="Century Gothic" w:hAnsi="Century Gothic"/>
                <w:sz w:val="24"/>
                <w:szCs w:val="24"/>
              </w:rPr>
            </w:pPr>
            <w:r w:rsidRPr="00724BBA">
              <w:rPr>
                <w:rFonts w:ascii="Century Gothic" w:hAnsi="Century Gothic"/>
                <w:sz w:val="24"/>
                <w:szCs w:val="24"/>
              </w:rPr>
              <w:t>La diversidad de instrumentos a disposición debe estar orientada a que los niños puedan tomar decisiones acerca de la conveniencia de utilizar uno u otro instrumento, siempre en función de lo que hay que medir.</w:t>
            </w:r>
            <w:sdt>
              <w:sdtPr>
                <w:rPr>
                  <w:rFonts w:ascii="Century Gothic" w:hAnsi="Century Gothic"/>
                  <w:sz w:val="24"/>
                  <w:szCs w:val="24"/>
                </w:rPr>
                <w:id w:val="1471475079"/>
                <w:citation/>
              </w:sdtPr>
              <w:sdtEndPr/>
              <w:sdtContent>
                <w:r w:rsidR="00394C0A" w:rsidRPr="00724BBA">
                  <w:rPr>
                    <w:rFonts w:ascii="Century Gothic" w:hAnsi="Century Gothic"/>
                    <w:sz w:val="24"/>
                    <w:szCs w:val="24"/>
                  </w:rPr>
                  <w:fldChar w:fldCharType="begin"/>
                </w:r>
                <w:r w:rsidR="00394C0A" w:rsidRPr="00724BBA">
                  <w:rPr>
                    <w:rFonts w:ascii="Century Gothic" w:hAnsi="Century Gothic"/>
                    <w:sz w:val="24"/>
                    <w:szCs w:val="24"/>
                  </w:rPr>
                  <w:instrText xml:space="preserve"> CITATION Mar09 \l 2058 </w:instrText>
                </w:r>
                <w:r w:rsidR="00394C0A" w:rsidRPr="00724BBA">
                  <w:rPr>
                    <w:rFonts w:ascii="Century Gothic" w:hAnsi="Century Gothic"/>
                    <w:sz w:val="24"/>
                    <w:szCs w:val="24"/>
                  </w:rPr>
                  <w:fldChar w:fldCharType="separate"/>
                </w:r>
                <w:r w:rsidR="00394C0A" w:rsidRPr="00724BBA">
                  <w:rPr>
                    <w:rFonts w:ascii="Century Gothic" w:hAnsi="Century Gothic"/>
                    <w:noProof/>
                    <w:sz w:val="24"/>
                    <w:szCs w:val="24"/>
                  </w:rPr>
                  <w:t xml:space="preserve"> (Quaranta, 2009)</w:t>
                </w:r>
                <w:r w:rsidR="00394C0A" w:rsidRPr="00724BBA">
                  <w:rPr>
                    <w:rFonts w:ascii="Century Gothic" w:hAnsi="Century Gothic"/>
                    <w:sz w:val="24"/>
                    <w:szCs w:val="24"/>
                  </w:rPr>
                  <w:fldChar w:fldCharType="end"/>
                </w:r>
              </w:sdtContent>
            </w:sdt>
          </w:p>
        </w:tc>
      </w:tr>
      <w:tr w:rsidR="00AF57D8" w:rsidRPr="00724BBA" w14:paraId="42183C40" w14:textId="48389FD2" w:rsidTr="00A72685">
        <w:trPr>
          <w:jc w:val="center"/>
        </w:trPr>
        <w:tc>
          <w:tcPr>
            <w:tcW w:w="2693" w:type="dxa"/>
            <w:shd w:val="clear" w:color="auto" w:fill="E2EFD9" w:themeFill="accent6" w:themeFillTint="33"/>
          </w:tcPr>
          <w:p w14:paraId="5E1EB65E" w14:textId="00BA0CC1" w:rsidR="00CD116C" w:rsidRPr="00724BBA" w:rsidRDefault="00CD116C" w:rsidP="00256873">
            <w:pPr>
              <w:jc w:val="center"/>
              <w:rPr>
                <w:rFonts w:ascii="Century Gothic" w:hAnsi="Century Gothic"/>
                <w:sz w:val="24"/>
                <w:szCs w:val="24"/>
              </w:rPr>
            </w:pPr>
            <w:r w:rsidRPr="00724BBA">
              <w:rPr>
                <w:rFonts w:ascii="Century Gothic" w:hAnsi="Century Gothic"/>
                <w:sz w:val="24"/>
                <w:szCs w:val="24"/>
              </w:rPr>
              <w:t>Identifica varios eventos de su vida cotidiana y dice el orden en que ocurren.</w:t>
            </w:r>
          </w:p>
        </w:tc>
        <w:tc>
          <w:tcPr>
            <w:tcW w:w="2450" w:type="dxa"/>
            <w:shd w:val="clear" w:color="auto" w:fill="E2EFD9" w:themeFill="accent6" w:themeFillTint="33"/>
          </w:tcPr>
          <w:p w14:paraId="5B4726A3" w14:textId="729E75DC" w:rsidR="00CD116C" w:rsidRPr="00724BBA" w:rsidRDefault="00AF57D8" w:rsidP="00724BBA">
            <w:pPr>
              <w:jc w:val="center"/>
              <w:rPr>
                <w:rFonts w:ascii="Century Gothic" w:hAnsi="Century Gothic"/>
                <w:sz w:val="24"/>
                <w:szCs w:val="24"/>
              </w:rPr>
            </w:pPr>
            <w:r w:rsidRPr="00724BBA">
              <w:rPr>
                <w:rFonts w:ascii="Century Gothic" w:hAnsi="Century Gothic"/>
                <w:sz w:val="24"/>
                <w:szCs w:val="24"/>
              </w:rPr>
              <w:t>Aprender el tiempo en el que se encuentran les permitirá conocer sus tiempos, por ejemplo, para hacer ciertas actividades además los ayudara poner pautas del tiempo y reconocer cual es antes o después de cierto suceso o experiencia.</w:t>
            </w:r>
          </w:p>
        </w:tc>
        <w:tc>
          <w:tcPr>
            <w:tcW w:w="2425" w:type="dxa"/>
            <w:shd w:val="clear" w:color="auto" w:fill="E2EFD9" w:themeFill="accent6" w:themeFillTint="33"/>
          </w:tcPr>
          <w:p w14:paraId="53A22A08" w14:textId="3A4D4E4D" w:rsidR="00CD116C" w:rsidRPr="00724BBA" w:rsidRDefault="00CD116C" w:rsidP="00724BBA">
            <w:pPr>
              <w:jc w:val="center"/>
              <w:rPr>
                <w:rFonts w:ascii="Century Gothic" w:hAnsi="Century Gothic"/>
                <w:sz w:val="24"/>
                <w:szCs w:val="24"/>
              </w:rPr>
            </w:pPr>
            <w:r w:rsidRPr="00724BBA">
              <w:rPr>
                <w:rFonts w:ascii="Century Gothic" w:hAnsi="Century Gothic"/>
                <w:sz w:val="24"/>
                <w:szCs w:val="24"/>
              </w:rPr>
              <w:t>El uso de expresiones como: día, noche, mañana, tarde, antes, después, día, semana, mes; además de reflexionar acerca de “¿Qué sucede antes de…?”, “¿Qué ocurre después de…?”, “¿Qué sucede antes de… y después de…?”, entre otras.</w:t>
            </w:r>
          </w:p>
        </w:tc>
        <w:tc>
          <w:tcPr>
            <w:tcW w:w="2826" w:type="dxa"/>
            <w:shd w:val="clear" w:color="auto" w:fill="E2EFD9" w:themeFill="accent6" w:themeFillTint="33"/>
          </w:tcPr>
          <w:p w14:paraId="05BFD12A" w14:textId="0327A1A1" w:rsidR="00CD116C" w:rsidRPr="00724BBA" w:rsidRDefault="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Ordenar actividades de arriba hacia abajo en una columna en función del tiempo de un día. Organizar el tiempo de una semana y un mes en una tabla, registrando eventos que son familiares e identificando secuencias y repetición de sucesos.</w:t>
            </w:r>
          </w:p>
          <w:p w14:paraId="7CB01674" w14:textId="1D442566" w:rsidR="00B53AE0" w:rsidRPr="00724BBA" w:rsidRDefault="00B53AE0">
            <w:pPr>
              <w:rPr>
                <w:rFonts w:ascii="Century Gothic" w:hAnsi="Century Gothic"/>
                <w:sz w:val="24"/>
                <w:szCs w:val="24"/>
              </w:rPr>
            </w:pPr>
            <w:r w:rsidRPr="00724BBA">
              <w:rPr>
                <w:rFonts w:ascii="Century Gothic" w:hAnsi="Century Gothic"/>
                <w:sz w:val="24"/>
                <w:szCs w:val="24"/>
              </w:rPr>
              <w:sym w:font="Symbol" w:char="F0B7"/>
            </w:r>
            <w:r w:rsidRPr="00724BBA">
              <w:rPr>
                <w:rFonts w:ascii="Century Gothic" w:hAnsi="Century Gothic"/>
                <w:sz w:val="24"/>
                <w:szCs w:val="24"/>
              </w:rPr>
              <w:t>I</w:t>
            </w:r>
            <w:r w:rsidR="00CD116C" w:rsidRPr="00724BBA">
              <w:rPr>
                <w:rFonts w:ascii="Century Gothic" w:hAnsi="Century Gothic"/>
                <w:sz w:val="24"/>
                <w:szCs w:val="24"/>
              </w:rPr>
              <w:t xml:space="preserve">dentificar, por ejemplo, que cinco días van a la escuela y dos no. En este tipo de ejercicio agreguen además de las actividades de la jornada escolar, lo que hacen fuera del horario escolar y los fines de semana. En el caso del mes, recuperen la misma organización de los días de la semana, anotar el nombre correspondiente del mes, , señalar cuántos días tiene y comentar qué día inicia </w:t>
            </w:r>
          </w:p>
          <w:p w14:paraId="0F33678D" w14:textId="010CE601" w:rsidR="00CD116C" w:rsidRPr="00724BBA" w:rsidRDefault="00B53AE0" w:rsidP="00B53AE0">
            <w:pPr>
              <w:rPr>
                <w:rFonts w:ascii="Century Gothic" w:hAnsi="Century Gothic"/>
                <w:sz w:val="24"/>
                <w:szCs w:val="24"/>
              </w:rPr>
            </w:pPr>
            <w:r w:rsidRPr="00724BBA">
              <w:rPr>
                <w:rFonts w:ascii="Century Gothic" w:hAnsi="Century Gothic"/>
                <w:sz w:val="24"/>
                <w:szCs w:val="24"/>
              </w:rPr>
              <w:sym w:font="Symbol" w:char="F0B7"/>
            </w:r>
            <w:r w:rsidR="00CD116C" w:rsidRPr="00724BBA">
              <w:rPr>
                <w:rFonts w:ascii="Century Gothic" w:hAnsi="Century Gothic"/>
                <w:sz w:val="24"/>
                <w:szCs w:val="24"/>
              </w:rPr>
              <w:t xml:space="preserve">En el calendario, ubiquen algunas actividades escolares que se efectúan en días determinados (honores a la Bandera, clase de música o educación física, por ejemplo) u otros eventos como cumpleaños, el día en que se riega la huerta escolar, días festivos, el día en que recibirán la visita de alguien en el aula, entre otros. </w:t>
            </w:r>
          </w:p>
        </w:tc>
        <w:tc>
          <w:tcPr>
            <w:tcW w:w="2926" w:type="dxa"/>
            <w:shd w:val="clear" w:color="auto" w:fill="E2EFD9" w:themeFill="accent6" w:themeFillTint="33"/>
          </w:tcPr>
          <w:p w14:paraId="3D8D7193" w14:textId="77777777" w:rsidR="00724BBA" w:rsidRPr="00724BBA" w:rsidRDefault="00724BBA" w:rsidP="00724BBA">
            <w:pPr>
              <w:jc w:val="both"/>
              <w:rPr>
                <w:rFonts w:ascii="Century Gothic" w:hAnsi="Century Gothic"/>
                <w:i/>
                <w:sz w:val="24"/>
                <w:szCs w:val="24"/>
              </w:rPr>
            </w:pPr>
            <w:r w:rsidRPr="00724BBA">
              <w:rPr>
                <w:rFonts w:ascii="Century Gothic" w:hAnsi="Century Gothic"/>
                <w:i/>
                <w:sz w:val="24"/>
                <w:szCs w:val="24"/>
              </w:rPr>
              <w:t>“La noche sigue al día, las horas de las comidas suceden con clara regularidad, van a la escuela todas las mañanas después del desayuno, juega a determinadas horas y así sucesivamente. Esta rutina diaria facilita el desarrollo de la experiencia por medio de la cual van ligando la sucesión de eventos, que identifican en su vida cotidiana”</w:t>
            </w:r>
          </w:p>
          <w:p w14:paraId="3F5808FD" w14:textId="764AE40C" w:rsidR="00CD116C" w:rsidRPr="00724BBA" w:rsidRDefault="00837F64" w:rsidP="00724BBA">
            <w:pPr>
              <w:rPr>
                <w:rFonts w:ascii="Century Gothic" w:hAnsi="Century Gothic"/>
                <w:sz w:val="24"/>
                <w:szCs w:val="24"/>
              </w:rPr>
            </w:pPr>
            <w:sdt>
              <w:sdtPr>
                <w:rPr>
                  <w:rFonts w:ascii="Century Gothic" w:hAnsi="Century Gothic"/>
                  <w:i/>
                  <w:sz w:val="24"/>
                  <w:szCs w:val="24"/>
                </w:rPr>
                <w:id w:val="1844589977"/>
                <w:citation/>
              </w:sdtPr>
              <w:sdtEndPr/>
              <w:sdtContent>
                <w:r w:rsidR="00724BBA" w:rsidRPr="00724BBA">
                  <w:rPr>
                    <w:rFonts w:ascii="Century Gothic" w:hAnsi="Century Gothic"/>
                    <w:i/>
                    <w:sz w:val="24"/>
                    <w:szCs w:val="24"/>
                  </w:rPr>
                  <w:fldChar w:fldCharType="begin"/>
                </w:r>
                <w:r w:rsidR="00724BBA" w:rsidRPr="00724BBA">
                  <w:rPr>
                    <w:rFonts w:ascii="Century Gothic" w:hAnsi="Century Gothic"/>
                    <w:i/>
                    <w:sz w:val="24"/>
                    <w:szCs w:val="24"/>
                  </w:rPr>
                  <w:instrText xml:space="preserve"> CITATION KLo99 \l 3082 </w:instrText>
                </w:r>
                <w:r w:rsidR="00724BBA" w:rsidRPr="00724BBA">
                  <w:rPr>
                    <w:rFonts w:ascii="Century Gothic" w:hAnsi="Century Gothic"/>
                    <w:i/>
                    <w:sz w:val="24"/>
                    <w:szCs w:val="24"/>
                  </w:rPr>
                  <w:fldChar w:fldCharType="separate"/>
                </w:r>
                <w:r w:rsidR="00724BBA" w:rsidRPr="00724BBA">
                  <w:rPr>
                    <w:rFonts w:ascii="Century Gothic" w:hAnsi="Century Gothic"/>
                    <w:noProof/>
                    <w:sz w:val="24"/>
                    <w:szCs w:val="24"/>
                  </w:rPr>
                  <w:t>(K.Lovell, 1999)</w:t>
                </w:r>
                <w:r w:rsidR="00724BBA" w:rsidRPr="00724BBA">
                  <w:rPr>
                    <w:rFonts w:ascii="Century Gothic" w:hAnsi="Century Gothic"/>
                    <w:i/>
                    <w:sz w:val="24"/>
                    <w:szCs w:val="24"/>
                  </w:rPr>
                  <w:fldChar w:fldCharType="end"/>
                </w:r>
              </w:sdtContent>
            </w:sdt>
          </w:p>
        </w:tc>
      </w:tr>
    </w:tbl>
    <w:p w14:paraId="3A3C0336" w14:textId="042DE0F2" w:rsidR="00256873" w:rsidRDefault="00256873"/>
    <w:p w14:paraId="4003704B" w14:textId="58269DE8" w:rsidR="0003540D" w:rsidRPr="00FC169A" w:rsidRDefault="0003540D">
      <w:pPr>
        <w:rPr>
          <w:rFonts w:ascii="Century Gothic" w:hAnsi="Century Gothic"/>
          <w:sz w:val="24"/>
          <w:szCs w:val="24"/>
        </w:rPr>
      </w:pPr>
    </w:p>
    <w:sectPr w:rsidR="0003540D" w:rsidRPr="00FC169A" w:rsidSect="005843EE">
      <w:pgSz w:w="15842" w:h="12242" w:orient="landscape"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95DA3"/>
    <w:multiLevelType w:val="hybridMultilevel"/>
    <w:tmpl w:val="F5380836"/>
    <w:lvl w:ilvl="0" w:tplc="A7F27CE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73"/>
    <w:rsid w:val="00002A39"/>
    <w:rsid w:val="0002325A"/>
    <w:rsid w:val="0003540D"/>
    <w:rsid w:val="00042646"/>
    <w:rsid w:val="001118A7"/>
    <w:rsid w:val="00116F8A"/>
    <w:rsid w:val="001D6C59"/>
    <w:rsid w:val="001D7FBB"/>
    <w:rsid w:val="001F659B"/>
    <w:rsid w:val="00256873"/>
    <w:rsid w:val="00257133"/>
    <w:rsid w:val="00320B31"/>
    <w:rsid w:val="00365D76"/>
    <w:rsid w:val="00394C0A"/>
    <w:rsid w:val="00427258"/>
    <w:rsid w:val="005449A0"/>
    <w:rsid w:val="005843EE"/>
    <w:rsid w:val="005D104B"/>
    <w:rsid w:val="00660E96"/>
    <w:rsid w:val="00724BBA"/>
    <w:rsid w:val="00816EFD"/>
    <w:rsid w:val="00837F64"/>
    <w:rsid w:val="008B1263"/>
    <w:rsid w:val="008B6E61"/>
    <w:rsid w:val="00930C45"/>
    <w:rsid w:val="00957449"/>
    <w:rsid w:val="009D4EBB"/>
    <w:rsid w:val="00A2026C"/>
    <w:rsid w:val="00A60A32"/>
    <w:rsid w:val="00A72685"/>
    <w:rsid w:val="00AF57D8"/>
    <w:rsid w:val="00B0106A"/>
    <w:rsid w:val="00B3519A"/>
    <w:rsid w:val="00B53AE0"/>
    <w:rsid w:val="00BB0D0B"/>
    <w:rsid w:val="00CD116C"/>
    <w:rsid w:val="00D07846"/>
    <w:rsid w:val="00ED6FF2"/>
    <w:rsid w:val="00EF71A7"/>
    <w:rsid w:val="00FC1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17E8"/>
  <w15:chartTrackingRefBased/>
  <w15:docId w15:val="{ACBACAED-038E-47B7-9DC2-4924ADD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631806">
      <w:bodyDiv w:val="1"/>
      <w:marLeft w:val="0"/>
      <w:marRight w:val="0"/>
      <w:marTop w:val="0"/>
      <w:marBottom w:val="0"/>
      <w:divBdr>
        <w:top w:val="none" w:sz="0" w:space="0" w:color="auto"/>
        <w:left w:val="none" w:sz="0" w:space="0" w:color="auto"/>
        <w:bottom w:val="none" w:sz="0" w:space="0" w:color="auto"/>
        <w:right w:val="none" w:sz="0" w:space="0" w:color="auto"/>
      </w:divBdr>
    </w:div>
    <w:div w:id="2034844070">
      <w:bodyDiv w:val="1"/>
      <w:marLeft w:val="0"/>
      <w:marRight w:val="0"/>
      <w:marTop w:val="0"/>
      <w:marBottom w:val="0"/>
      <w:divBdr>
        <w:top w:val="none" w:sz="0" w:space="0" w:color="auto"/>
        <w:left w:val="none" w:sz="0" w:space="0" w:color="auto"/>
        <w:bottom w:val="none" w:sz="0" w:space="0" w:color="auto"/>
        <w:right w:val="none" w:sz="0" w:space="0" w:color="auto"/>
      </w:divBdr>
    </w:div>
    <w:div w:id="20990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{DE47C275-6070-416B-8884-A92056722E82}</b:Guid>
    <b:Author>
      <b:Author>
        <b:NameList>
          <b:Person>
            <b:Last>Quaranta</b:Last>
            <b:First>Maria</b:First>
            <b:Middle>Emilia</b:Middle>
          </b:Person>
        </b:NameList>
      </b:Author>
    </b:Author>
    <b:Title>La enseñanaza de la Geometría en el Jardin de infantes</b:Title>
    <b:Year>2009</b:Year>
    <b:City>Argentina</b:City>
    <b:RefOrder>1</b:RefOrder>
  </b:Source>
</b:Sources>
</file>

<file path=customXml/itemProps1.xml><?xml version="1.0" encoding="utf-8"?>
<ds:datastoreItem xmlns:ds="http://schemas.openxmlformats.org/officeDocument/2006/customXml" ds:itemID="{5B510390-A7CC-4761-B772-A9A9938B71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1558</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JATZIRY WENDOLYNE GUILLEN CABELLO</cp:lastModifiedBy>
  <cp:revision>2</cp:revision>
  <dcterms:created xsi:type="dcterms:W3CDTF">2021-06-03T18:40:00Z</dcterms:created>
  <dcterms:modified xsi:type="dcterms:W3CDTF">2021-06-03T18:40:00Z</dcterms:modified>
</cp:coreProperties>
</file>