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39D" w:rsidRDefault="005040B7">
      <w:pPr>
        <w:jc w:val="center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Escuela Normal de Educación Preescolar.</w:t>
      </w:r>
    </w:p>
    <w:p w:rsidR="0089339D" w:rsidRDefault="005040B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Licenciatura en educación preescolar</w:t>
      </w:r>
      <w:r>
        <w:rPr>
          <w:rFonts w:ascii="Times New Roman" w:eastAsia="Times New Roman" w:hAnsi="Times New Roman" w:cs="Times New Roman"/>
          <w:sz w:val="40"/>
          <w:szCs w:val="40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Ciclo escolar 2020-2021</w:t>
      </w:r>
    </w:p>
    <w:p w:rsidR="0089339D" w:rsidRDefault="005040B7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br/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2272030</wp:posOffset>
            </wp:positionH>
            <wp:positionV relativeFrom="paragraph">
              <wp:posOffset>40005</wp:posOffset>
            </wp:positionV>
            <wp:extent cx="1114425" cy="828675"/>
            <wp:effectExtent l="0" t="0" r="0" b="0"/>
            <wp:wrapSquare wrapText="bothSides" distT="0" distB="0" distL="114300" distR="114300"/>
            <wp:docPr id="2" name="image1.png" descr="Descripción: Descripción: Imagen que contiene señal&#10;&#10;Descripción generada con confianza muy alt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escripción: Descripción: Imagen que contiene señal&#10;&#10;Descripción generada con confianza muy alta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828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9339D" w:rsidRDefault="0089339D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9339D" w:rsidRDefault="0089339D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9339D" w:rsidRDefault="0089339D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9339D" w:rsidRDefault="005040B7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Asignatura: </w:t>
      </w:r>
      <w:r>
        <w:rPr>
          <w:rFonts w:ascii="Times New Roman" w:eastAsia="Times New Roman" w:hAnsi="Times New Roman" w:cs="Times New Roman"/>
          <w:sz w:val="32"/>
          <w:szCs w:val="32"/>
        </w:rPr>
        <w:t>Filosofía de la Educación.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89339D" w:rsidRDefault="005040B7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Profesor: </w:t>
      </w:r>
      <w:r>
        <w:rPr>
          <w:rFonts w:ascii="Times New Roman" w:eastAsia="Times New Roman" w:hAnsi="Times New Roman" w:cs="Times New Roman"/>
          <w:sz w:val="32"/>
          <w:szCs w:val="32"/>
        </w:rPr>
        <w:t>Carlos Armando Balderas Valdés</w:t>
      </w:r>
    </w:p>
    <w:p w:rsidR="0089339D" w:rsidRDefault="0089339D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89339D" w:rsidRDefault="005040B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Evidencia de aprendizaje para evaluación de la unidad II.</w:t>
      </w:r>
    </w:p>
    <w:p w:rsidR="0089339D" w:rsidRDefault="0089339D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9339D" w:rsidRDefault="005040B7">
      <w:pPr>
        <w:ind w:left="36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Unidad II: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El sentido y los fines de la educación.</w:t>
      </w:r>
    </w:p>
    <w:p w:rsidR="0089339D" w:rsidRDefault="005040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Actúa de manera ética ante la diversidad de situaciones que se presentan en la práctica profesional. </w:t>
      </w:r>
    </w:p>
    <w:p w:rsidR="0089339D" w:rsidRDefault="005040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Integra recursos de la investigación educativa para enriquecer su práctica profesional, expresando su interés por el conocimiento, la ciencia y la mejora de la educación. </w:t>
      </w:r>
    </w:p>
    <w:p w:rsidR="0089339D" w:rsidRDefault="0089339D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89339D" w:rsidRDefault="005040B7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Alumnas:</w:t>
      </w:r>
    </w:p>
    <w:p w:rsidR="005040B7" w:rsidRDefault="005040B7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Mariana Abigail Avila Olivares #1</w:t>
      </w:r>
    </w:p>
    <w:p w:rsidR="005040B7" w:rsidRDefault="005040B7" w:rsidP="005040B7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Adriana Rodríguez Hernández #17</w:t>
      </w:r>
    </w:p>
    <w:p w:rsidR="0089339D" w:rsidRDefault="005040B7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Grado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: 2°             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 Sección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:” C”</w:t>
      </w:r>
    </w:p>
    <w:p w:rsidR="0089339D" w:rsidRDefault="0089339D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9339D" w:rsidRDefault="0089339D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9339D" w:rsidRDefault="005040B7">
      <w:pPr>
        <w:pBdr>
          <w:top w:val="nil"/>
          <w:left w:val="nil"/>
          <w:bottom w:val="nil"/>
          <w:right w:val="nil"/>
          <w:between w:val="nil"/>
        </w:pBdr>
        <w:ind w:left="1080"/>
        <w:jc w:val="right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Saltillo, Coahuila</w:t>
      </w:r>
    </w:p>
    <w:p w:rsidR="0089339D" w:rsidRDefault="005040B7">
      <w:pPr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89339D">
          <w:pgSz w:w="12240" w:h="15840"/>
          <w:pgMar w:top="1417" w:right="1701" w:bottom="1417" w:left="1701" w:header="708" w:footer="708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Mayo del 2021</w:t>
      </w:r>
    </w:p>
    <w:p w:rsidR="0089339D" w:rsidRDefault="0089339D"/>
    <w:tbl>
      <w:tblPr>
        <w:tblStyle w:val="a"/>
        <w:tblW w:w="14533" w:type="dxa"/>
        <w:tblInd w:w="-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34"/>
        <w:gridCol w:w="1843"/>
        <w:gridCol w:w="1837"/>
        <w:gridCol w:w="1942"/>
        <w:gridCol w:w="1995"/>
        <w:gridCol w:w="2070"/>
        <w:gridCol w:w="1567"/>
        <w:gridCol w:w="1645"/>
      </w:tblGrid>
      <w:tr w:rsidR="0089339D" w:rsidTr="005040B7">
        <w:trPr>
          <w:trHeight w:val="2259"/>
        </w:trPr>
        <w:tc>
          <w:tcPr>
            <w:tcW w:w="1634" w:type="dxa"/>
            <w:shd w:val="clear" w:color="auto" w:fill="CCCCFF"/>
          </w:tcPr>
          <w:p w:rsidR="0089339D" w:rsidRDefault="005040B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Nombre de la postura</w:t>
            </w:r>
          </w:p>
          <w:p w:rsidR="0089339D" w:rsidRDefault="005040B7" w:rsidP="005040B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John Dewey</w:t>
            </w:r>
            <w:r w:rsidRPr="005040B7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:rsidR="005040B7" w:rsidRDefault="005040B7" w:rsidP="005040B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040B7">
              <w:rPr>
                <w:rFonts w:ascii="Arial" w:eastAsia="Arial" w:hAnsi="Arial" w:cs="Arial"/>
                <w:b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356E4C7" wp14:editId="4793854D">
                  <wp:simplePos x="0" y="0"/>
                  <wp:positionH relativeFrom="column">
                    <wp:posOffset>123190</wp:posOffset>
                  </wp:positionH>
                  <wp:positionV relativeFrom="paragraph">
                    <wp:posOffset>151765</wp:posOffset>
                  </wp:positionV>
                  <wp:extent cx="656590" cy="836930"/>
                  <wp:effectExtent l="0" t="0" r="0" b="1270"/>
                  <wp:wrapTopAndBottom/>
                  <wp:docPr id="1" name="Imagen 1" descr="Credit: Bettmann Archive/Bettman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redit: Bettmann Archive/Bettman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590" cy="83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  <w:shd w:val="clear" w:color="auto" w:fill="CCFFFF"/>
          </w:tcPr>
          <w:p w:rsidR="0089339D" w:rsidRDefault="005040B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íntesis de la postura en cuestión. </w:t>
            </w:r>
          </w:p>
        </w:tc>
        <w:tc>
          <w:tcPr>
            <w:tcW w:w="1837" w:type="dxa"/>
            <w:shd w:val="clear" w:color="auto" w:fill="CCFFFF"/>
          </w:tcPr>
          <w:p w:rsidR="0089339D" w:rsidRDefault="005040B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Reconstrucción resumida de los argumentos presentados a favor de la postura.</w:t>
            </w:r>
          </w:p>
          <w:p w:rsidR="0089339D" w:rsidRDefault="0089339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42" w:type="dxa"/>
            <w:shd w:val="clear" w:color="auto" w:fill="CCFFFF"/>
          </w:tcPr>
          <w:p w:rsidR="0089339D" w:rsidRDefault="005040B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Reconstrucción resumida de los argumentos en contra que se puedan ofrecer sobre la postura en cuestión. </w:t>
            </w:r>
          </w:p>
        </w:tc>
        <w:tc>
          <w:tcPr>
            <w:tcW w:w="1995" w:type="dxa"/>
            <w:shd w:val="clear" w:color="auto" w:fill="CCFFFF"/>
          </w:tcPr>
          <w:p w:rsidR="0089339D" w:rsidRDefault="005040B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Enumeración de tres beneficios concretos que el estudiante encuentre sobre la postura en cuestión en la práctica docente.</w:t>
            </w:r>
          </w:p>
        </w:tc>
        <w:tc>
          <w:tcPr>
            <w:tcW w:w="2070" w:type="dxa"/>
            <w:shd w:val="clear" w:color="auto" w:fill="CCFFFF"/>
          </w:tcPr>
          <w:p w:rsidR="0089339D" w:rsidRDefault="005040B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Enumeración de tres</w:t>
            </w:r>
          </w:p>
          <w:p w:rsidR="0089339D" w:rsidRDefault="005040B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Elementos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adversos que el estudiante encuentre sobre la postura en cuestión de la práctica docente.</w:t>
            </w:r>
          </w:p>
        </w:tc>
        <w:tc>
          <w:tcPr>
            <w:tcW w:w="1567" w:type="dxa"/>
            <w:shd w:val="clear" w:color="auto" w:fill="CCFFFF"/>
          </w:tcPr>
          <w:p w:rsidR="0089339D" w:rsidRDefault="005040B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Problemas actuales dentro del sistema educativo o de la sociedad que se podrían resolver de aceptar dichas posturas.</w:t>
            </w:r>
          </w:p>
        </w:tc>
        <w:tc>
          <w:tcPr>
            <w:tcW w:w="1645" w:type="dxa"/>
            <w:shd w:val="clear" w:color="auto" w:fill="CCFFFF"/>
          </w:tcPr>
          <w:p w:rsidR="0089339D" w:rsidRDefault="005040B7" w:rsidP="005040B7">
            <w:pPr>
              <w:ind w:right="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Posibles consecuencias negativas para el sistema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educativo nacional o para la sociedad que tendría la aplicación de dichas posturas.</w:t>
            </w:r>
          </w:p>
        </w:tc>
      </w:tr>
      <w:tr w:rsidR="0089339D" w:rsidTr="005040B7">
        <w:trPr>
          <w:trHeight w:val="4467"/>
        </w:trPr>
        <w:tc>
          <w:tcPr>
            <w:tcW w:w="1634" w:type="dxa"/>
            <w:shd w:val="clear" w:color="auto" w:fill="FFD965"/>
          </w:tcPr>
          <w:p w:rsidR="0089339D" w:rsidRDefault="005040B7">
            <w:r>
              <w:t xml:space="preserve">Educación para el mantenimiento de las estructuras (conservadora) </w:t>
            </w:r>
          </w:p>
        </w:tc>
        <w:tc>
          <w:tcPr>
            <w:tcW w:w="1843" w:type="dxa"/>
          </w:tcPr>
          <w:p w:rsidR="0089339D" w:rsidRDefault="005040B7">
            <w:r>
              <w:t>La educación conservadora no es mala en sí misma, toda educación se sustenta en ideas y creencias; pero esos valores que se quiere preservar deben ser expuestos de manera abierta, sujetos a crítica, y si estamos convencidos de que sirven, contaremos con ar</w:t>
            </w:r>
            <w:r>
              <w:t xml:space="preserve">gumentos sólidos para apoyarlos. </w:t>
            </w:r>
          </w:p>
          <w:p w:rsidR="0089339D" w:rsidRDefault="0089339D"/>
        </w:tc>
        <w:tc>
          <w:tcPr>
            <w:tcW w:w="1837" w:type="dxa"/>
          </w:tcPr>
          <w:p w:rsidR="0089339D" w:rsidRDefault="005040B7">
            <w:r>
              <w:t>Pretende perpetuar los valores tradicionales, por lo cual se presenta acrítica y dogmática, se trate de cualquier forma sociopolítica que se intente que perdure.</w:t>
            </w:r>
          </w:p>
        </w:tc>
        <w:tc>
          <w:tcPr>
            <w:tcW w:w="1942" w:type="dxa"/>
          </w:tcPr>
          <w:p w:rsidR="0089339D" w:rsidRDefault="005040B7">
            <w:r>
              <w:t>Receptividad pasiva, centrando su punto de apoyo en el maes</w:t>
            </w:r>
            <w:r>
              <w:t xml:space="preserve">tro, en el manual, o en cualquier otro punto; menos en el alumno mismo. </w:t>
            </w:r>
          </w:p>
        </w:tc>
        <w:tc>
          <w:tcPr>
            <w:tcW w:w="1995" w:type="dxa"/>
          </w:tcPr>
          <w:p w:rsidR="0089339D" w:rsidRDefault="005040B7">
            <w:r>
              <w:t xml:space="preserve">1. El maestro es el modelo y el guía. </w:t>
            </w:r>
          </w:p>
          <w:p w:rsidR="0089339D" w:rsidRDefault="005040B7">
            <w:r>
              <w:t>2 Trazar</w:t>
            </w:r>
            <w:r>
              <w:t xml:space="preserve"> el camino y llevar por él a los alumnos </w:t>
            </w:r>
          </w:p>
          <w:p w:rsidR="0089339D" w:rsidRDefault="005040B7">
            <w:r>
              <w:t>3 Utilizar</w:t>
            </w:r>
            <w:r>
              <w:t xml:space="preserve"> un manual escolar.</w:t>
            </w:r>
          </w:p>
        </w:tc>
        <w:tc>
          <w:tcPr>
            <w:tcW w:w="2070" w:type="dxa"/>
          </w:tcPr>
          <w:p w:rsidR="0089339D" w:rsidRDefault="005040B7">
            <w:r>
              <w:t>1 La</w:t>
            </w:r>
            <w:r>
              <w:t xml:space="preserve"> disciplina y el castigo deben ser fundamentales.</w:t>
            </w:r>
          </w:p>
          <w:p w:rsidR="0089339D" w:rsidRDefault="005040B7">
            <w:r>
              <w:t xml:space="preserve">2. Aislar </w:t>
            </w:r>
            <w:r>
              <w:t xml:space="preserve">y elaborar la materia que ha de ser aprendida. </w:t>
            </w:r>
          </w:p>
          <w:p w:rsidR="0089339D" w:rsidRDefault="005040B7">
            <w:r>
              <w:t xml:space="preserve">3. La disciplina y los ejercicios escolares son suficientes para desarrollar las virtudes humanas. </w:t>
            </w:r>
          </w:p>
          <w:p w:rsidR="0089339D" w:rsidRDefault="0089339D"/>
        </w:tc>
        <w:tc>
          <w:tcPr>
            <w:tcW w:w="1567" w:type="dxa"/>
          </w:tcPr>
          <w:p w:rsidR="0089339D" w:rsidRDefault="005040B7">
            <w:r>
              <w:t>La obediencia y respeto a las jerarquías.</w:t>
            </w:r>
          </w:p>
        </w:tc>
        <w:tc>
          <w:tcPr>
            <w:tcW w:w="1645" w:type="dxa"/>
          </w:tcPr>
          <w:p w:rsidR="0089339D" w:rsidRDefault="005040B7">
            <w:pPr>
              <w:ind w:right="429"/>
            </w:pPr>
            <w:r>
              <w:t>Los valores se transmiten a modo de imposición, la historia y sus héroes son incuestionables, así como el profesor.</w:t>
            </w:r>
          </w:p>
          <w:p w:rsidR="0089339D" w:rsidRDefault="0089339D"/>
        </w:tc>
      </w:tr>
      <w:tr w:rsidR="0089339D" w:rsidTr="005040B7">
        <w:trPr>
          <w:trHeight w:val="2925"/>
        </w:trPr>
        <w:tc>
          <w:tcPr>
            <w:tcW w:w="1634" w:type="dxa"/>
            <w:shd w:val="clear" w:color="auto" w:fill="FFD965"/>
          </w:tcPr>
          <w:p w:rsidR="0089339D" w:rsidRDefault="005040B7">
            <w:r>
              <w:t>Educación para el cambio social o la transformación o la transformación personal (progresista)</w:t>
            </w:r>
          </w:p>
        </w:tc>
        <w:tc>
          <w:tcPr>
            <w:tcW w:w="1843" w:type="dxa"/>
          </w:tcPr>
          <w:p w:rsidR="0089339D" w:rsidRDefault="005040B7">
            <w:r>
              <w:t xml:space="preserve">Aumentar la capacidad vital del alumno; en </w:t>
            </w:r>
            <w:r>
              <w:t xml:space="preserve">general, no debe de tener fines trascendentales, sino para la vida actual, para que se haga más rica y fructífera. </w:t>
            </w:r>
          </w:p>
        </w:tc>
        <w:tc>
          <w:tcPr>
            <w:tcW w:w="1837" w:type="dxa"/>
          </w:tcPr>
          <w:p w:rsidR="0089339D" w:rsidRDefault="005040B7">
            <w:r>
              <w:t>Da valor y dignidad a la infancia, se centra en los intereses espontáneos del niño y  aspira a fortalecer su actividad, libertad y autonomía</w:t>
            </w:r>
            <w:r>
              <w:t xml:space="preserve">. </w:t>
            </w:r>
          </w:p>
        </w:tc>
        <w:tc>
          <w:tcPr>
            <w:tcW w:w="1942" w:type="dxa"/>
          </w:tcPr>
          <w:p w:rsidR="0089339D" w:rsidRDefault="005040B7">
            <w:r>
              <w:t>Las ocupaciones en la escuela no deben de ser expedientes prácticos o modos rutinarios de empleo, ni representando la adquisición de una mayor habilidad técnica.</w:t>
            </w:r>
          </w:p>
        </w:tc>
        <w:tc>
          <w:tcPr>
            <w:tcW w:w="1995" w:type="dxa"/>
          </w:tcPr>
          <w:p w:rsidR="0089339D" w:rsidRDefault="005040B7">
            <w:r>
              <w:t>1 Se</w:t>
            </w:r>
            <w:r>
              <w:t xml:space="preserve"> apoya en la estructura conceptual de cada alumno. </w:t>
            </w:r>
          </w:p>
          <w:p w:rsidR="0089339D" w:rsidRDefault="005040B7">
            <w:r>
              <w:t>2. Prevé el cambio conceptual.</w:t>
            </w:r>
          </w:p>
          <w:p w:rsidR="0089339D" w:rsidRDefault="005040B7">
            <w:r>
              <w:t>3. C</w:t>
            </w:r>
            <w:r>
              <w:t>onfronta las ideas y preconceptos afines al tema de enseñanza.</w:t>
            </w:r>
          </w:p>
          <w:p w:rsidR="0089339D" w:rsidRDefault="0089339D"/>
        </w:tc>
        <w:tc>
          <w:tcPr>
            <w:tcW w:w="2070" w:type="dxa"/>
          </w:tcPr>
          <w:p w:rsidR="0089339D" w:rsidRDefault="005040B7">
            <w:r>
              <w:t>1 Mayor</w:t>
            </w:r>
            <w:r>
              <w:t xml:space="preserve"> libertad.</w:t>
            </w:r>
          </w:p>
          <w:p w:rsidR="0089339D" w:rsidRDefault="005040B7">
            <w:r>
              <w:t xml:space="preserve">2. No incluye un trabajo personalizado. </w:t>
            </w:r>
          </w:p>
          <w:p w:rsidR="0089339D" w:rsidRDefault="005040B7">
            <w:r>
              <w:t xml:space="preserve">3. Fomentar la creatividad. </w:t>
            </w:r>
          </w:p>
        </w:tc>
        <w:tc>
          <w:tcPr>
            <w:tcW w:w="1567" w:type="dxa"/>
          </w:tcPr>
          <w:p w:rsidR="0089339D" w:rsidRDefault="005040B7">
            <w:r>
              <w:t>Conservar la esencia de la vida en comunidad que el niño tiene fuera de ella y sobre esa vida crear métodos de enseñanza.</w:t>
            </w:r>
          </w:p>
        </w:tc>
        <w:tc>
          <w:tcPr>
            <w:tcW w:w="1645" w:type="dxa"/>
          </w:tcPr>
          <w:p w:rsidR="0089339D" w:rsidRDefault="005040B7">
            <w:r>
              <w:t xml:space="preserve">Que los educadores no consigan adaptar actividades de acuerdo a los cambios constantes de la vida de los niños. </w:t>
            </w:r>
          </w:p>
        </w:tc>
      </w:tr>
    </w:tbl>
    <w:p w:rsidR="0089339D" w:rsidRDefault="0089339D"/>
    <w:p w:rsidR="0089339D" w:rsidRDefault="0089339D"/>
    <w:p w:rsidR="0089339D" w:rsidRDefault="0089339D"/>
    <w:p w:rsidR="0089339D" w:rsidRDefault="0089339D"/>
    <w:p w:rsidR="0089339D" w:rsidRDefault="0089339D"/>
    <w:p w:rsidR="0089339D" w:rsidRDefault="0089339D"/>
    <w:p w:rsidR="0089339D" w:rsidRDefault="0089339D"/>
    <w:p w:rsidR="0089339D" w:rsidRDefault="0089339D"/>
    <w:p w:rsidR="0089339D" w:rsidRDefault="0089339D"/>
    <w:p w:rsidR="0089339D" w:rsidRDefault="0089339D"/>
    <w:tbl>
      <w:tblPr>
        <w:tblStyle w:val="a0"/>
        <w:tblW w:w="14899" w:type="dxa"/>
        <w:tblInd w:w="-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1"/>
        <w:gridCol w:w="1536"/>
        <w:gridCol w:w="1717"/>
        <w:gridCol w:w="2122"/>
        <w:gridCol w:w="1852"/>
        <w:gridCol w:w="1717"/>
        <w:gridCol w:w="1837"/>
        <w:gridCol w:w="2557"/>
      </w:tblGrid>
      <w:tr w:rsidR="0089339D" w:rsidTr="005040B7">
        <w:trPr>
          <w:trHeight w:val="2095"/>
        </w:trPr>
        <w:tc>
          <w:tcPr>
            <w:tcW w:w="1561" w:type="dxa"/>
            <w:shd w:val="clear" w:color="auto" w:fill="CCCCFF"/>
          </w:tcPr>
          <w:p w:rsidR="0089339D" w:rsidRDefault="005040B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E242025" wp14:editId="2AF21312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513715</wp:posOffset>
                  </wp:positionV>
                  <wp:extent cx="942975" cy="628650"/>
                  <wp:effectExtent l="0" t="0" r="9525" b="0"/>
                  <wp:wrapTopAndBottom/>
                  <wp:docPr id="4" name="Imagen 4" descr="Día Internacional de la Educación: ¿Quién fue Paulo Freire? - Cla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ía Internacional de la Educación: ¿Quién fue Paulo Freire? - Cla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 w:cs="Arial"/>
                <w:sz w:val="20"/>
                <w:szCs w:val="20"/>
              </w:rPr>
              <w:t>Nombre de la postura</w:t>
            </w:r>
          </w:p>
          <w:p w:rsidR="005040B7" w:rsidRPr="005040B7" w:rsidRDefault="005040B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0" w:name="_GoBack"/>
            <w:r w:rsidRPr="005040B7">
              <w:rPr>
                <w:rFonts w:ascii="Arial" w:eastAsia="Arial" w:hAnsi="Arial" w:cs="Arial"/>
                <w:b/>
                <w:sz w:val="20"/>
                <w:szCs w:val="20"/>
              </w:rPr>
              <w:t>Paulo Freire</w:t>
            </w:r>
          </w:p>
          <w:bookmarkEnd w:id="0"/>
          <w:p w:rsidR="0089339D" w:rsidRDefault="0089339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CCFFFF"/>
          </w:tcPr>
          <w:p w:rsidR="0089339D" w:rsidRDefault="005040B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Síntesis de la postura en cuestión. </w:t>
            </w:r>
          </w:p>
        </w:tc>
        <w:tc>
          <w:tcPr>
            <w:tcW w:w="1717" w:type="dxa"/>
            <w:shd w:val="clear" w:color="auto" w:fill="CCFFFF"/>
          </w:tcPr>
          <w:p w:rsidR="0089339D" w:rsidRDefault="005040B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Reconstrucción resumida de los argumentos presentados a favor de la postura.</w:t>
            </w:r>
          </w:p>
          <w:p w:rsidR="0089339D" w:rsidRDefault="0089339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CCFFFF"/>
          </w:tcPr>
          <w:p w:rsidR="0089339D" w:rsidRDefault="005040B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Reconstrucción resumida de los argumentos en contra que se puedan ofrecer sobre la postura en cuestión. </w:t>
            </w:r>
          </w:p>
        </w:tc>
        <w:tc>
          <w:tcPr>
            <w:tcW w:w="1852" w:type="dxa"/>
            <w:shd w:val="clear" w:color="auto" w:fill="CCFFFF"/>
          </w:tcPr>
          <w:p w:rsidR="0089339D" w:rsidRDefault="005040B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Enumeración de tres beneficios concretos que el estudiante encuentre sobre la postura en cuestión en la práctica docente.</w:t>
            </w:r>
          </w:p>
        </w:tc>
        <w:tc>
          <w:tcPr>
            <w:tcW w:w="1717" w:type="dxa"/>
            <w:shd w:val="clear" w:color="auto" w:fill="CCFFFF"/>
          </w:tcPr>
          <w:p w:rsidR="0089339D" w:rsidRDefault="005040B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Enumeración de tres</w:t>
            </w:r>
          </w:p>
          <w:p w:rsidR="0089339D" w:rsidRDefault="005040B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Elementos adversos que el estudiante encuentre sobre la postura en cuestión de la práctica docente.</w:t>
            </w:r>
          </w:p>
        </w:tc>
        <w:tc>
          <w:tcPr>
            <w:tcW w:w="1837" w:type="dxa"/>
            <w:shd w:val="clear" w:color="auto" w:fill="CCFFFF"/>
          </w:tcPr>
          <w:p w:rsidR="0089339D" w:rsidRDefault="005040B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Problemas actu</w:t>
            </w:r>
            <w:r>
              <w:rPr>
                <w:rFonts w:ascii="Arial" w:eastAsia="Arial" w:hAnsi="Arial" w:cs="Arial"/>
                <w:sz w:val="20"/>
                <w:szCs w:val="20"/>
              </w:rPr>
              <w:t>ales dentro del sistema educativo o de la sociedad que se podrían resolver de aceptar dichas posturas.</w:t>
            </w:r>
          </w:p>
        </w:tc>
        <w:tc>
          <w:tcPr>
            <w:tcW w:w="2557" w:type="dxa"/>
            <w:shd w:val="clear" w:color="auto" w:fill="CCFFFF"/>
          </w:tcPr>
          <w:p w:rsidR="0089339D" w:rsidRDefault="005040B7">
            <w:pPr>
              <w:ind w:right="3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Posibles consecuencias negativas para el sistema educativo nacional o para la sociedad que tendría la aplicación de dichas posturas.</w:t>
            </w:r>
          </w:p>
        </w:tc>
      </w:tr>
      <w:tr w:rsidR="0089339D" w:rsidTr="005040B7">
        <w:trPr>
          <w:trHeight w:val="4320"/>
        </w:trPr>
        <w:tc>
          <w:tcPr>
            <w:tcW w:w="1561" w:type="dxa"/>
            <w:shd w:val="clear" w:color="auto" w:fill="FFD965"/>
          </w:tcPr>
          <w:p w:rsidR="0089339D" w:rsidRDefault="005040B7">
            <w:r>
              <w:t>Educación para el m</w:t>
            </w:r>
            <w:r>
              <w:t xml:space="preserve">antenimiento de las estructuras (conservadora) </w:t>
            </w:r>
          </w:p>
        </w:tc>
        <w:tc>
          <w:tcPr>
            <w:tcW w:w="1536" w:type="dxa"/>
          </w:tcPr>
          <w:p w:rsidR="0089339D" w:rsidRDefault="005040B7">
            <w:r>
              <w:t xml:space="preserve">La educación era una alfabetización basada en imposiciones concibe a la persona como sujeto poseedor de dignidad. </w:t>
            </w:r>
          </w:p>
          <w:p w:rsidR="0089339D" w:rsidRDefault="005040B7">
            <w:r>
              <w:t>despierta la conciencia y el empoderamiento, promueve la expresión propia de la palabra sobre</w:t>
            </w:r>
            <w:r>
              <w:t xml:space="preserve"> la realidad </w:t>
            </w:r>
          </w:p>
        </w:tc>
        <w:tc>
          <w:tcPr>
            <w:tcW w:w="1717" w:type="dxa"/>
          </w:tcPr>
          <w:p w:rsidR="0089339D" w:rsidRDefault="005040B7">
            <w:r>
              <w:t>Según</w:t>
            </w:r>
            <w:r>
              <w:t xml:space="preserve"> las reglas que existían, el conocimiento solo se recibe pero no se cuestiona.</w:t>
            </w:r>
          </w:p>
        </w:tc>
        <w:tc>
          <w:tcPr>
            <w:tcW w:w="2122" w:type="dxa"/>
          </w:tcPr>
          <w:p w:rsidR="0089339D" w:rsidRDefault="005040B7">
            <w:pPr>
              <w:spacing w:before="240" w:after="240"/>
              <w:jc w:val="both"/>
            </w:pPr>
            <w:r>
              <w:t xml:space="preserve">En la sociedad existía un miedo, además iba de la mano su ignorancia. Sólo podían expresarse las personas con excelente posición social. </w:t>
            </w:r>
          </w:p>
          <w:p w:rsidR="0089339D" w:rsidRDefault="0089339D"/>
        </w:tc>
        <w:tc>
          <w:tcPr>
            <w:tcW w:w="1852" w:type="dxa"/>
          </w:tcPr>
          <w:p w:rsidR="0089339D" w:rsidRDefault="005040B7">
            <w:r>
              <w:t>1- Se conoce más información acerca de los antepasados.</w:t>
            </w:r>
          </w:p>
          <w:p w:rsidR="0089339D" w:rsidRDefault="005040B7">
            <w:r>
              <w:t xml:space="preserve">2- Los maestros no batallan con cada grupo de sus alumnos </w:t>
            </w:r>
          </w:p>
          <w:p w:rsidR="0089339D" w:rsidRDefault="005040B7">
            <w:r>
              <w:t>3- El respeto era lo más importante al partir las clases.</w:t>
            </w:r>
          </w:p>
        </w:tc>
        <w:tc>
          <w:tcPr>
            <w:tcW w:w="1717" w:type="dxa"/>
          </w:tcPr>
          <w:p w:rsidR="0089339D" w:rsidRDefault="005040B7">
            <w:r>
              <w:t>1- Era más difícil que los niños pudieran hablar y dar su punto de vista.</w:t>
            </w:r>
          </w:p>
          <w:p w:rsidR="0089339D" w:rsidRDefault="005040B7">
            <w:r>
              <w:t>2- Todo s</w:t>
            </w:r>
            <w:r>
              <w:t>e hacía conforme lo indican los maestros.</w:t>
            </w:r>
          </w:p>
          <w:p w:rsidR="0089339D" w:rsidRDefault="005040B7">
            <w:r>
              <w:t xml:space="preserve">3-Los alumnos no tenían la iniciativa de estudiar alguna profesión.  </w:t>
            </w:r>
          </w:p>
        </w:tc>
        <w:tc>
          <w:tcPr>
            <w:tcW w:w="1837" w:type="dxa"/>
          </w:tcPr>
          <w:p w:rsidR="0089339D" w:rsidRDefault="005040B7">
            <w:r>
              <w:t>Con el paso del tiempo se ha ido perdiendo el respeto, además el valor por la escuela, muchos alumnos no pueden trabajar bajo presión porque pa</w:t>
            </w:r>
            <w:r>
              <w:t>ra ellos es más difícil el realizar los trabajos, si se lograra alcanzar el ritmo de trabajo que se llevaba anteriormente sería muy satisfactorio como para ellos como para los maestros.</w:t>
            </w:r>
          </w:p>
        </w:tc>
        <w:tc>
          <w:tcPr>
            <w:tcW w:w="2557" w:type="dxa"/>
          </w:tcPr>
          <w:p w:rsidR="0089339D" w:rsidRDefault="005040B7">
            <w:pPr>
              <w:rPr>
                <w:sz w:val="20"/>
                <w:szCs w:val="20"/>
              </w:rPr>
            </w:pPr>
            <w:r>
              <w:t>Poca motivación para estudiar, nivel muy bajo de aprendizaje y poca ca</w:t>
            </w:r>
            <w:r>
              <w:t>pacitación de los maestros.</w:t>
            </w:r>
          </w:p>
        </w:tc>
      </w:tr>
      <w:tr w:rsidR="0089339D" w:rsidTr="005040B7">
        <w:trPr>
          <w:trHeight w:val="3615"/>
        </w:trPr>
        <w:tc>
          <w:tcPr>
            <w:tcW w:w="1561" w:type="dxa"/>
            <w:shd w:val="clear" w:color="auto" w:fill="FFD965"/>
          </w:tcPr>
          <w:p w:rsidR="0089339D" w:rsidRDefault="005040B7">
            <w:r>
              <w:t>Educación para el cambio social o la transformación o la transformación personal (progresista)</w:t>
            </w:r>
          </w:p>
        </w:tc>
        <w:tc>
          <w:tcPr>
            <w:tcW w:w="1536" w:type="dxa"/>
          </w:tcPr>
          <w:p w:rsidR="0089339D" w:rsidRDefault="005040B7">
            <w:r>
              <w:t>La educación es reflexión y acción del hombre, la educación progresista es relevante porque busca una educación libre, que no tema p</w:t>
            </w:r>
            <w:r>
              <w:t>or lo que viene, además que termine con las mentiras y con la incompetencia.</w:t>
            </w:r>
          </w:p>
        </w:tc>
        <w:tc>
          <w:tcPr>
            <w:tcW w:w="1717" w:type="dxa"/>
          </w:tcPr>
          <w:p w:rsidR="0089339D" w:rsidRDefault="005040B7">
            <w:r>
              <w:t>Nos ayuda a pensar de manera independiente para poder crear una mente libre, para poder desplegar su creatividad e imaginación.</w:t>
            </w:r>
          </w:p>
        </w:tc>
        <w:tc>
          <w:tcPr>
            <w:tcW w:w="2122" w:type="dxa"/>
          </w:tcPr>
          <w:p w:rsidR="0089339D" w:rsidRDefault="005040B7">
            <w:r>
              <w:t>Al pensar de manera libre e independiente podría oc</w:t>
            </w:r>
            <w:r>
              <w:t>asionar conflictos por los diferentes puntos de vista de cada persona.</w:t>
            </w:r>
          </w:p>
        </w:tc>
        <w:tc>
          <w:tcPr>
            <w:tcW w:w="1852" w:type="dxa"/>
          </w:tcPr>
          <w:p w:rsidR="0089339D" w:rsidRDefault="005040B7">
            <w:r>
              <w:t>1- Se relaciona de manera libre y no obligando a temas tradicionales.</w:t>
            </w:r>
          </w:p>
          <w:p w:rsidR="0089339D" w:rsidRDefault="005040B7">
            <w:r>
              <w:t>2- Puede participar y cuestionar a su profesor para poder aclarar dudas referentes</w:t>
            </w:r>
            <w:r>
              <w:t xml:space="preserve"> a un tema en particular.</w:t>
            </w:r>
          </w:p>
          <w:p w:rsidR="0089339D" w:rsidRDefault="005040B7">
            <w:r>
              <w:t xml:space="preserve">3- Aprende a ser innovador, logra superarse y desarrollarse de manera rápida en cada área establecida. </w:t>
            </w:r>
          </w:p>
        </w:tc>
        <w:tc>
          <w:tcPr>
            <w:tcW w:w="1717" w:type="dxa"/>
          </w:tcPr>
          <w:p w:rsidR="0089339D" w:rsidRDefault="005040B7">
            <w:r>
              <w:t>1- Los estudios  tienen una demanda más alta.</w:t>
            </w:r>
          </w:p>
          <w:p w:rsidR="0089339D" w:rsidRDefault="005040B7">
            <w:r>
              <w:t>2- Se tienen metas más grandes, algunas más difíciles que otras pero no imposibles de lograr.</w:t>
            </w:r>
          </w:p>
          <w:p w:rsidR="0089339D" w:rsidRDefault="005040B7">
            <w:r>
              <w:t xml:space="preserve">3- Algunas </w:t>
            </w:r>
            <w:r>
              <w:t xml:space="preserve">ocasiones los maestros trabajan con el aprendizaje autónomo y algunas personas se quedan atrás.   </w:t>
            </w:r>
          </w:p>
        </w:tc>
        <w:tc>
          <w:tcPr>
            <w:tcW w:w="1837" w:type="dxa"/>
          </w:tcPr>
          <w:p w:rsidR="0089339D" w:rsidRDefault="005040B7">
            <w:r>
              <w:t>El problema actual es la falta de motivación de los alumnos y maestros. Hay maestros que han perdido el interés por enseñar a grandes rasgos diferentes temas</w:t>
            </w:r>
            <w:r>
              <w:t>.</w:t>
            </w:r>
          </w:p>
        </w:tc>
        <w:tc>
          <w:tcPr>
            <w:tcW w:w="2557" w:type="dxa"/>
          </w:tcPr>
          <w:p w:rsidR="0089339D" w:rsidRDefault="005040B7">
            <w:r>
              <w:t>Al tener una mente más abierta logra un cambio social y laboral, para poder tener personas innovadoras y no operarias.</w:t>
            </w:r>
          </w:p>
        </w:tc>
      </w:tr>
    </w:tbl>
    <w:p w:rsidR="0089339D" w:rsidRDefault="0089339D"/>
    <w:p w:rsidR="0089339D" w:rsidRDefault="0089339D"/>
    <w:p w:rsidR="0089339D" w:rsidRDefault="0089339D">
      <w:pPr>
        <w:jc w:val="center"/>
        <w:rPr>
          <w:rFonts w:ascii="Arial" w:eastAsia="Arial" w:hAnsi="Arial" w:cs="Arial"/>
          <w:b/>
        </w:rPr>
      </w:pPr>
    </w:p>
    <w:p w:rsidR="0089339D" w:rsidRDefault="0089339D">
      <w:pPr>
        <w:jc w:val="center"/>
        <w:rPr>
          <w:rFonts w:ascii="Arial" w:eastAsia="Arial" w:hAnsi="Arial" w:cs="Arial"/>
          <w:b/>
        </w:rPr>
      </w:pPr>
    </w:p>
    <w:p w:rsidR="0089339D" w:rsidRDefault="0089339D">
      <w:pPr>
        <w:jc w:val="center"/>
        <w:rPr>
          <w:rFonts w:ascii="Arial" w:eastAsia="Arial" w:hAnsi="Arial" w:cs="Arial"/>
          <w:b/>
        </w:rPr>
      </w:pPr>
    </w:p>
    <w:p w:rsidR="0089339D" w:rsidRDefault="0089339D">
      <w:pPr>
        <w:jc w:val="center"/>
        <w:rPr>
          <w:rFonts w:ascii="Arial" w:eastAsia="Arial" w:hAnsi="Arial" w:cs="Arial"/>
          <w:b/>
        </w:rPr>
      </w:pPr>
    </w:p>
    <w:p w:rsidR="0089339D" w:rsidRDefault="0089339D">
      <w:pPr>
        <w:jc w:val="center"/>
        <w:rPr>
          <w:rFonts w:ascii="Arial" w:eastAsia="Arial" w:hAnsi="Arial" w:cs="Arial"/>
          <w:b/>
        </w:rPr>
      </w:pPr>
    </w:p>
    <w:p w:rsidR="0089339D" w:rsidRDefault="0089339D">
      <w:pPr>
        <w:jc w:val="center"/>
        <w:rPr>
          <w:rFonts w:ascii="Arial" w:eastAsia="Arial" w:hAnsi="Arial" w:cs="Arial"/>
          <w:b/>
        </w:rPr>
      </w:pPr>
    </w:p>
    <w:p w:rsidR="0089339D" w:rsidRDefault="005040B7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Referencias bibliográficas.</w:t>
      </w:r>
    </w:p>
    <w:p w:rsidR="0089339D" w:rsidRDefault="005040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</w:rPr>
      </w:pPr>
      <w:r>
        <w:rPr>
          <w:color w:val="000000"/>
        </w:rPr>
        <w:t xml:space="preserve">El legado pedagógico del siglo XX para la escuela del siglo XXI. Barcelona: </w:t>
      </w:r>
      <w:r>
        <w:t>Grao</w:t>
      </w:r>
      <w:r>
        <w:rPr>
          <w:color w:val="000000"/>
        </w:rPr>
        <w:t>, 15-39.</w:t>
      </w:r>
    </w:p>
    <w:p w:rsidR="0089339D" w:rsidRDefault="0089339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:rsidR="0089339D" w:rsidRDefault="005040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JOHN DEWEY Y SUS APORTACIONES A LA EDUCACIÓN. </w:t>
      </w:r>
    </w:p>
    <w:p w:rsidR="0089339D" w:rsidRDefault="005040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hyperlink r:id="rId9">
        <w:r>
          <w:rPr>
            <w:rFonts w:ascii="Arial" w:eastAsia="Arial" w:hAnsi="Arial" w:cs="Arial"/>
            <w:color w:val="1155CC"/>
            <w:u w:val="single"/>
          </w:rPr>
          <w:t>http://amirakarim777.blogspot.com/2016/03/la-educacion-como-practica-de-la.html</w:t>
        </w:r>
      </w:hyperlink>
    </w:p>
    <w:p w:rsidR="0089339D" w:rsidRDefault="005040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hyperlink r:id="rId10">
        <w:r>
          <w:rPr>
            <w:rFonts w:ascii="Arial" w:eastAsia="Arial" w:hAnsi="Arial" w:cs="Arial"/>
            <w:color w:val="1155CC"/>
            <w:u w:val="single"/>
          </w:rPr>
          <w:t>https://cronicon.net/hitosypersonajes/2019/06/22/paulo-freire-el-pedagogo-promotor-de-la-educacion-para-la-liberacion/</w:t>
        </w:r>
      </w:hyperlink>
    </w:p>
    <w:p w:rsidR="0089339D" w:rsidRDefault="005040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Paulo Freire</w:t>
      </w:r>
      <w:r>
        <w:rPr>
          <w:rFonts w:ascii="Arial" w:eastAsia="Arial" w:hAnsi="Arial" w:cs="Arial"/>
        </w:rPr>
        <w:t>,  el pedagogo pr</w:t>
      </w:r>
      <w:r>
        <w:rPr>
          <w:rFonts w:ascii="Arial" w:eastAsia="Arial" w:hAnsi="Arial" w:cs="Arial"/>
        </w:rPr>
        <w:t>omotor de la educación para la liberación</w:t>
      </w:r>
    </w:p>
    <w:p w:rsidR="0089339D" w:rsidRDefault="005040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PAULO FREIRE (1921-1997) Heinz-Peter Gerhard</w:t>
      </w:r>
    </w:p>
    <w:sectPr w:rsidR="0089339D">
      <w:pgSz w:w="15840" w:h="12240" w:orient="landscape"/>
      <w:pgMar w:top="1701" w:right="1418" w:bottom="1701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CD0AEC"/>
    <w:multiLevelType w:val="multilevel"/>
    <w:tmpl w:val="7CDC747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4BE3EC3"/>
    <w:multiLevelType w:val="multilevel"/>
    <w:tmpl w:val="19424B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39D"/>
    <w:rsid w:val="005040B7"/>
    <w:rsid w:val="0089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C54598-2E39-49E3-8F29-D25BF938A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ABE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180ABE"/>
    <w:pPr>
      <w:ind w:left="720"/>
      <w:contextualSpacing/>
    </w:pPr>
  </w:style>
  <w:style w:type="table" w:styleId="Tablaconcuadrcula">
    <w:name w:val="Table Grid"/>
    <w:basedOn w:val="Tablanormal"/>
    <w:uiPriority w:val="59"/>
    <w:rsid w:val="00180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80A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0ABE"/>
  </w:style>
  <w:style w:type="paragraph" w:styleId="Piedepgina">
    <w:name w:val="footer"/>
    <w:basedOn w:val="Normal"/>
    <w:link w:val="PiedepginaCar"/>
    <w:uiPriority w:val="99"/>
    <w:unhideWhenUsed/>
    <w:rsid w:val="00180A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0ABE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ronicon.net/hitosypersonajes/2019/06/22/paulo-freire-el-pedagogo-promotor-de-la-educacion-para-la-liberac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mirakarim777.blogspot.com/2016/03/la-educacion-como-practica-de-la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//PAD1UBwWGlSbrJWc46aYoQ9w==">AMUW2mV9edAJBFPpMD/Zzky2x2S+KUFrjXi/cjVDitNCh9+IQ7y+rdO9aOzKo4toe2zC4wurFQLlS2BZ+NZy/ZYvysmIMSywmCKpuIDjDZMrzDuc0qNX9Qs=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1201</Words>
  <Characters>6609</Characters>
  <Application>Microsoft Office Word</Application>
  <DocSecurity>0</DocSecurity>
  <Lines>55</Lines>
  <Paragraphs>15</Paragraphs>
  <ScaleCrop>false</ScaleCrop>
  <Company>HP</Company>
  <LinksUpToDate>false</LinksUpToDate>
  <CharactersWithSpaces>7795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RODRIGUEZ HERNANDEZ</dc:creator>
  <cp:lastModifiedBy>ELL</cp:lastModifiedBy>
  <cp:revision>2</cp:revision>
  <dcterms:created xsi:type="dcterms:W3CDTF">2021-05-31T00:28:00Z</dcterms:created>
  <dcterms:modified xsi:type="dcterms:W3CDTF">2021-06-01T00:43:00Z</dcterms:modified>
</cp:coreProperties>
</file>