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02124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62175" cy="144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202124"/>
          <w:sz w:val="32"/>
          <w:szCs w:val="32"/>
        </w:rPr>
        <w:t>Escuela Normal de Educaci</w:t>
      </w:r>
      <w:r>
        <w:rPr>
          <w:b/>
          <w:color w:val="202124"/>
          <w:sz w:val="32"/>
          <w:szCs w:val="32"/>
        </w:rPr>
        <w:t>ó</w:t>
      </w:r>
      <w:r>
        <w:rPr>
          <w:rFonts w:ascii="Arial" w:eastAsia="Arial" w:hAnsi="Arial" w:cs="Arial"/>
          <w:b/>
          <w:color w:val="202124"/>
          <w:sz w:val="32"/>
          <w:szCs w:val="32"/>
        </w:rPr>
        <w:t>n Preescolar.</w:t>
      </w: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>Licenciatura en educación preescolar.</w:t>
      </w: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>Ciclo escolar 2020-2021</w:t>
      </w:r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Evidencia de Aprendizaje II: Cuadro Comparativo de las Posturas sobre el sentido y la finalidad de la Educación</w:t>
      </w:r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Optativa. Filosofía de la educación.</w:t>
      </w: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Prof. Carlos Armando Balderas Valdés.</w:t>
      </w:r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>Unidad de aprendizaje II. El sentido y los fines de la educación.</w:t>
      </w: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:rsidR="00C05D21" w:rsidRDefault="0016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:rsidR="00C05D21" w:rsidRDefault="00161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C05D21" w:rsidRDefault="00C05D21">
      <w:pPr>
        <w:jc w:val="center"/>
        <w:rPr>
          <w:rFonts w:ascii="Arial" w:eastAsia="Arial" w:hAnsi="Arial" w:cs="Arial"/>
          <w:sz w:val="28"/>
          <w:szCs w:val="28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Cinthia Gabriela Bernal Cervantes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N.L:3</w:t>
      </w:r>
      <w:proofErr w:type="spellEnd"/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Karla Andrea Muñiz Ibarra.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N.L:14</w:t>
      </w:r>
      <w:proofErr w:type="spellEnd"/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Cuarto 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emestre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2ºC</w:t>
      </w:r>
      <w:proofErr w:type="spellEnd"/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C05D21" w:rsidRDefault="00C05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8"/>
          <w:szCs w:val="28"/>
        </w:rPr>
        <w:t>Saltillo, Coahuila. 31 de mayo del 2021</w:t>
      </w:r>
    </w:p>
    <w:p w:rsidR="00C05D21" w:rsidRDefault="00C05D21">
      <w:pPr>
        <w:jc w:val="right"/>
      </w:pPr>
    </w:p>
    <w:p w:rsidR="00C05D21" w:rsidRDefault="00C05D21"/>
    <w:p w:rsidR="00C05D21" w:rsidRDefault="00C05D21">
      <w:pPr>
        <w:sectPr w:rsidR="00C05D21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C05D21" w:rsidRDefault="00161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Cuadro Comparativo de las Posturas sobre el sentido y la finalidad de la Educación.</w:t>
      </w:r>
    </w:p>
    <w:p w:rsidR="00C05D21" w:rsidRDefault="00C05D21"/>
    <w:tbl>
      <w:tblPr>
        <w:tblStyle w:val="a"/>
        <w:tblW w:w="1559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71"/>
        <w:gridCol w:w="2039"/>
        <w:gridCol w:w="2110"/>
        <w:gridCol w:w="1738"/>
        <w:gridCol w:w="1873"/>
        <w:gridCol w:w="1445"/>
        <w:gridCol w:w="2257"/>
      </w:tblGrid>
      <w:tr w:rsidR="00C05D21">
        <w:tc>
          <w:tcPr>
            <w:tcW w:w="1560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 la postura</w:t>
            </w:r>
          </w:p>
        </w:tc>
        <w:tc>
          <w:tcPr>
            <w:tcW w:w="2571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Síntesis de la postura en cuestión.</w:t>
            </w:r>
          </w:p>
        </w:tc>
        <w:tc>
          <w:tcPr>
            <w:tcW w:w="2039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Reconstrucción resumida de los argumentos presentados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 favor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la postura.</w:t>
            </w:r>
          </w:p>
          <w:p w:rsidR="00C05D21" w:rsidRDefault="00C05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Reconstrucción resumida de los argumentos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en contra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que se puedan ofrecer sobre la postura en cuestión.</w:t>
            </w:r>
          </w:p>
        </w:tc>
        <w:tc>
          <w:tcPr>
            <w:tcW w:w="1738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Enumeración de tres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beneficios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concretos que el estudiante encuentre sobre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 postura en cuestión en la práctica docente.</w:t>
            </w:r>
          </w:p>
        </w:tc>
        <w:tc>
          <w:tcPr>
            <w:tcW w:w="1873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Enumeración de tres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elementos adversos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que el estudiante encuentre sobre la postura en cuestión de la práctica docente.</w:t>
            </w:r>
          </w:p>
        </w:tc>
        <w:tc>
          <w:tcPr>
            <w:tcW w:w="1445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Problemas actuales dentro del sistema educativo o de la sociedad que se podrían resolver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aceptar dichas posturas.</w:t>
            </w:r>
          </w:p>
        </w:tc>
        <w:tc>
          <w:tcPr>
            <w:tcW w:w="2257" w:type="dxa"/>
            <w:shd w:val="clear" w:color="auto" w:fill="CCECFF"/>
            <w:vAlign w:val="center"/>
          </w:tcPr>
          <w:p w:rsidR="00C05D21" w:rsidRDefault="00161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Posibles consecuencias negativas para el sistema educativo nacional o para la sociedad que tendría la aplicación de dichas posturas.</w:t>
            </w:r>
          </w:p>
        </w:tc>
      </w:tr>
      <w:tr w:rsidR="00C05D21">
        <w:tc>
          <w:tcPr>
            <w:tcW w:w="1560" w:type="dxa"/>
            <w:shd w:val="clear" w:color="auto" w:fill="FFFFCC"/>
            <w:vAlign w:val="center"/>
          </w:tcPr>
          <w:p w:rsidR="00C05D21" w:rsidRDefault="00C05D2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05D21" w:rsidRDefault="0016117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Educación para el mantenimiento de las estructuras (conservadora)</w:t>
            </w:r>
          </w:p>
          <w:p w:rsidR="00C05D21" w:rsidRDefault="00C05D2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05D21" w:rsidRDefault="00C05D21">
            <w:pPr>
              <w:jc w:val="both"/>
              <w:rPr>
                <w:rFonts w:ascii="Arial" w:eastAsia="Arial" w:hAnsi="Arial" w:cs="Arial"/>
              </w:rPr>
            </w:pPr>
          </w:p>
          <w:p w:rsidR="00C05D21" w:rsidRDefault="0016117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 postura también llamada educación bancaria porque los maestros hacen “depósitos” en el alumno, él deposita la información (el conocimiento que sabe) en el alumno y el alumno repite el conocimiento que el maestro ha depositado según Freire.</w:t>
            </w:r>
          </w:p>
        </w:tc>
        <w:tc>
          <w:tcPr>
            <w:tcW w:w="2039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Estamos a </w:t>
            </w:r>
            <w:r>
              <w:rPr>
                <w:rFonts w:ascii="Arial" w:eastAsia="Arial" w:hAnsi="Arial" w:cs="Arial"/>
              </w:rPr>
              <w:t xml:space="preserve">favor de que: la educación es regida por un calendario oficial.  También que es sistemático, se planifican los temas, se </w:t>
            </w:r>
            <w:proofErr w:type="spellStart"/>
            <w:r>
              <w:rPr>
                <w:rFonts w:ascii="Arial" w:eastAsia="Arial" w:hAnsi="Arial" w:cs="Arial"/>
              </w:rPr>
              <w:t>candelarizan</w:t>
            </w:r>
            <w:proofErr w:type="spellEnd"/>
            <w:r>
              <w:rPr>
                <w:rFonts w:ascii="Arial" w:eastAsia="Arial" w:hAnsi="Arial" w:cs="Arial"/>
              </w:rPr>
              <w:t xml:space="preserve"> las evaluaciones, hay fechas en las que se debe cumplir. Y que tiene carácter de obligatorio. </w:t>
            </w:r>
          </w:p>
        </w:tc>
        <w:tc>
          <w:tcPr>
            <w:tcW w:w="2110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Estamos en contra de que: </w:t>
            </w:r>
            <w:r>
              <w:rPr>
                <w:rFonts w:ascii="Arial" w:eastAsia="Arial" w:hAnsi="Arial" w:cs="Arial"/>
              </w:rPr>
              <w:t xml:space="preserve">en este enfoque no existe compañerismo entre el maestro y el alumno. Porque debe de haber una relación ahí de respeto y de confianza, los dos aprenden y enseñan. Otro punto en contra es que consideren que no hay pensamiento </w:t>
            </w:r>
            <w:r>
              <w:rPr>
                <w:rFonts w:ascii="Arial" w:eastAsia="Arial" w:hAnsi="Arial" w:cs="Arial"/>
              </w:rPr>
              <w:lastRenderedPageBreak/>
              <w:t>autentico de los alumnos, ni cre</w:t>
            </w:r>
            <w:r>
              <w:rPr>
                <w:rFonts w:ascii="Arial" w:eastAsia="Arial" w:hAnsi="Arial" w:cs="Arial"/>
              </w:rPr>
              <w:t xml:space="preserve">atividad, criterio, es decir, desarrollan un papel pasivo en la escuela. Y se fundamenta y orienta por la religión. 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 que consideren que toda gira alrededor del maestro, cuando el centro de la enseñanza y aprendizaje debe ser el alumno. </w:t>
            </w: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pretenden transformar la mentalidad de los estudiantes para convertirlos en personas más “educadas” y adecuados para la sociedad.</w:t>
            </w:r>
          </w:p>
          <w:p w:rsidR="00C05D21" w:rsidRDefault="00C0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8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Tiene un proceso sistemático.</w:t>
            </w:r>
          </w:p>
          <w:p w:rsidR="00C05D21" w:rsidRDefault="00C0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Calendario oficial que indica los días en clases, los consejos técnicos.</w:t>
            </w:r>
          </w:p>
          <w:p w:rsidR="00C05D21" w:rsidRDefault="00C0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3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callen al alumno por pensar que “él no sabe”. Tenerlo como un personaje oprimido de su propia educación.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Considerar al maestro como dictador, opresor cuando en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realidad no es así.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sigan creyendo que solo hay una familia tradicional (de mama, papa e</w:t>
            </w:r>
            <w:r>
              <w:rPr>
                <w:rFonts w:ascii="Arial" w:eastAsia="Arial" w:hAnsi="Arial" w:cs="Arial"/>
                <w:color w:val="000000"/>
              </w:rPr>
              <w:t xml:space="preserve"> hijos) cuando ya existen miles de tipos de familias. 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 quieran imponer sus valores tradicionales.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Imponer un modo de vestir, de actuar y de hablar.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</w:tc>
        <w:tc>
          <w:tcPr>
            <w:tcW w:w="1445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-Falta de respeto por falta de los alumnos al docente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-Docentes sin autoridad frente al grupo.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-vestimenta</w:t>
            </w:r>
            <w:r>
              <w:rPr>
                <w:rFonts w:ascii="Arial" w:eastAsia="Arial" w:hAnsi="Arial" w:cs="Arial"/>
              </w:rPr>
              <w:t xml:space="preserve"> inapropiada o no acorde a sus </w:t>
            </w:r>
            <w:r>
              <w:rPr>
                <w:rFonts w:ascii="Arial" w:eastAsia="Arial" w:hAnsi="Arial" w:cs="Arial"/>
              </w:rPr>
              <w:lastRenderedPageBreak/>
              <w:t>edades en algunos planteles.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-Menor organización</w:t>
            </w:r>
            <w:r>
              <w:rPr>
                <w:rFonts w:ascii="Arial" w:eastAsia="Arial" w:hAnsi="Arial" w:cs="Arial"/>
              </w:rPr>
              <w:t xml:space="preserve"> en cuanto a documentación</w:t>
            </w:r>
            <w:r>
              <w:rPr>
                <w:rFonts w:ascii="Arial" w:eastAsia="Arial" w:hAnsi="Arial" w:cs="Arial"/>
              </w:rPr>
              <w:t xml:space="preserve"> docente y en caso falta de interese.</w:t>
            </w:r>
          </w:p>
        </w:tc>
        <w:tc>
          <w:tcPr>
            <w:tcW w:w="2257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de ellas sería</w:t>
            </w:r>
            <w:r>
              <w:rPr>
                <w:rFonts w:ascii="Arial" w:eastAsia="Arial" w:hAnsi="Arial" w:cs="Arial"/>
              </w:rPr>
              <w:t xml:space="preserve"> mucha discriminación por parte de lo que tienen esta postura hacia los que piensa</w:t>
            </w:r>
            <w:r>
              <w:rPr>
                <w:rFonts w:ascii="Arial" w:eastAsia="Arial" w:hAnsi="Arial" w:cs="Arial"/>
              </w:rPr>
              <w:t xml:space="preserve">n de forma diferente, por no dejarse persuadir o simplemente por no vestir como ellos ordenan. 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Otra es formar alumnos oprimidos, con miedo a </w:t>
            </w:r>
            <w:r>
              <w:rPr>
                <w:rFonts w:ascii="Arial" w:eastAsia="Arial" w:hAnsi="Arial" w:cs="Arial"/>
              </w:rPr>
              <w:lastRenderedPageBreak/>
              <w:t xml:space="preserve">expresar su opinión, o hacer algo diferente, viviendo infelices en la sociedad arbitraria y cerrada. </w:t>
            </w:r>
          </w:p>
        </w:tc>
      </w:tr>
      <w:tr w:rsidR="00C05D21">
        <w:tc>
          <w:tcPr>
            <w:tcW w:w="1560" w:type="dxa"/>
            <w:shd w:val="clear" w:color="auto" w:fill="CCFFCC"/>
            <w:vAlign w:val="center"/>
          </w:tcPr>
          <w:p w:rsidR="00C05D21" w:rsidRDefault="00C05D2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05D21" w:rsidRDefault="0016117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Educación para el cambio social o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transformación o la transformación personal (progresista)</w:t>
            </w:r>
          </w:p>
        </w:tc>
        <w:tc>
          <w:tcPr>
            <w:tcW w:w="2571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 una perspectiva más libre, más abierta a nuevos enfoques, ya que en esta mencionan </w:t>
            </w:r>
            <w:r>
              <w:rPr>
                <w:rFonts w:ascii="Arial" w:eastAsia="Arial" w:hAnsi="Arial" w:cs="Arial"/>
              </w:rPr>
              <w:lastRenderedPageBreak/>
              <w:t>que el docente y el alumno, juntos aprenden, buscan y construyen el conoci</w:t>
            </w:r>
            <w:r>
              <w:rPr>
                <w:rFonts w:ascii="Arial" w:eastAsia="Arial" w:hAnsi="Arial" w:cs="Arial"/>
              </w:rPr>
              <w:t xml:space="preserve">miento. </w:t>
            </w:r>
          </w:p>
        </w:tc>
        <w:tc>
          <w:tcPr>
            <w:tcW w:w="2039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Estamos de acuerdo en que es de carácter reflexivo. En que </w:t>
            </w:r>
            <w:r>
              <w:rPr>
                <w:rFonts w:ascii="Arial" w:eastAsia="Arial" w:hAnsi="Arial" w:cs="Arial"/>
              </w:rPr>
              <w:lastRenderedPageBreak/>
              <w:t>esta educación conlleva un proceso que nos ayuda a favorecer el aspecto de la autonomía. Se piensa de forma lógica y significativa, sin oprimir a las personas.</w:t>
            </w:r>
          </w:p>
        </w:tc>
        <w:tc>
          <w:tcPr>
            <w:tcW w:w="2110" w:type="dxa"/>
          </w:tcPr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Estamos en contra no en la </w:t>
            </w:r>
            <w:r>
              <w:rPr>
                <w:rFonts w:ascii="Arial" w:eastAsia="Arial" w:hAnsi="Arial" w:cs="Arial"/>
              </w:rPr>
              <w:t xml:space="preserve">manera que se implementa cada argumento ni lo que menciona </w:t>
            </w:r>
            <w:r>
              <w:rPr>
                <w:rFonts w:ascii="Arial" w:eastAsia="Arial" w:hAnsi="Arial" w:cs="Arial"/>
              </w:rPr>
              <w:lastRenderedPageBreak/>
              <w:t>esto sino en las libertades que se les puede dar a los alumnos como dice Francessco Tonnucci "escuchar a los alumnos y hacer lo que nos dicen".</w:t>
            </w: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Cosa que no es así</w:t>
            </w:r>
            <w:r>
              <w:rPr>
                <w:rFonts w:ascii="Arial" w:eastAsia="Arial" w:hAnsi="Arial" w:cs="Arial"/>
              </w:rPr>
              <w:t xml:space="preserve"> sino debe ser un trabajo mutuo en </w:t>
            </w:r>
            <w:r>
              <w:rPr>
                <w:rFonts w:ascii="Arial" w:eastAsia="Arial" w:hAnsi="Arial" w:cs="Arial"/>
              </w:rPr>
              <w:t>equipo.</w:t>
            </w:r>
          </w:p>
        </w:tc>
        <w:tc>
          <w:tcPr>
            <w:tcW w:w="1738" w:type="dxa"/>
          </w:tcPr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Gracias a esta en el alumno: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9" w:hanging="21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Desarrolla el diálogo.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Despierta la creatividad y la crítica reflexiva.</w:t>
            </w:r>
          </w:p>
          <w:p w:rsidR="00C05D21" w:rsidRDefault="001611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Fortalece el humanismo y la capacidad para dar respuesta a los problemas de la realidad.</w:t>
            </w:r>
          </w:p>
        </w:tc>
        <w:tc>
          <w:tcPr>
            <w:tcW w:w="1873" w:type="dxa"/>
          </w:tcPr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-El  maestro debe</w:t>
            </w:r>
            <w:r>
              <w:rPr>
                <w:rFonts w:ascii="Arial" w:eastAsia="Arial" w:hAnsi="Arial" w:cs="Arial"/>
              </w:rPr>
              <w:t xml:space="preserve"> dejar libres a los estudiantes para que estos </w:t>
            </w:r>
            <w:r>
              <w:rPr>
                <w:rFonts w:ascii="Arial" w:eastAsia="Arial" w:hAnsi="Arial" w:cs="Arial"/>
              </w:rPr>
              <w:lastRenderedPageBreak/>
              <w:t>puedan aprender.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-considerar</w:t>
            </w:r>
            <w:r>
              <w:rPr>
                <w:rFonts w:ascii="Arial" w:eastAsia="Arial" w:hAnsi="Arial" w:cs="Arial"/>
              </w:rPr>
              <w:t xml:space="preserve"> al maestro el portador del conocimiento absoluto y no siempre es así</w:t>
            </w:r>
            <w:r>
              <w:rPr>
                <w:rFonts w:ascii="Arial" w:eastAsia="Arial" w:hAnsi="Arial" w:cs="Arial"/>
              </w:rPr>
              <w:t>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-Que sea obligatorio el trabajo colaborativo en todo momento, al grado de dejar</w:t>
            </w:r>
            <w:r>
              <w:rPr>
                <w:rFonts w:ascii="Arial" w:eastAsia="Arial" w:hAnsi="Arial" w:cs="Arial"/>
              </w:rPr>
              <w:t xml:space="preserve"> de impleme</w:t>
            </w:r>
            <w:r>
              <w:rPr>
                <w:rFonts w:ascii="Arial" w:eastAsia="Arial" w:hAnsi="Arial" w:cs="Arial"/>
              </w:rPr>
              <w:t>ntar bancos individuales.</w:t>
            </w:r>
          </w:p>
        </w:tc>
        <w:tc>
          <w:tcPr>
            <w:tcW w:w="1445" w:type="dxa"/>
          </w:tcPr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-Ambientes más</w:t>
            </w:r>
            <w:r>
              <w:rPr>
                <w:rFonts w:ascii="Arial" w:eastAsia="Arial" w:hAnsi="Arial" w:cs="Arial"/>
              </w:rPr>
              <w:t xml:space="preserve"> autónomos</w:t>
            </w:r>
            <w:r>
              <w:rPr>
                <w:rFonts w:ascii="Arial" w:eastAsia="Arial" w:hAnsi="Arial" w:cs="Arial"/>
              </w:rPr>
              <w:t>.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-Alumnos más</w:t>
            </w:r>
            <w:r>
              <w:rPr>
                <w:rFonts w:ascii="Arial" w:eastAsia="Arial" w:hAnsi="Arial" w:cs="Arial"/>
              </w:rPr>
              <w:t xml:space="preserve"> sociales y comprometidos con la educación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05D21" w:rsidRDefault="00C05D21">
            <w:pPr>
              <w:rPr>
                <w:rFonts w:ascii="Arial" w:eastAsia="Arial" w:hAnsi="Arial" w:cs="Arial"/>
              </w:rPr>
            </w:pPr>
          </w:p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-Mayor amplitud de conocimiento tanto para docente</w:t>
            </w:r>
            <w:r>
              <w:rPr>
                <w:rFonts w:ascii="Arial" w:eastAsia="Arial" w:hAnsi="Arial" w:cs="Arial"/>
              </w:rPr>
              <w:t xml:space="preserve"> y alumno.</w:t>
            </w:r>
          </w:p>
        </w:tc>
        <w:tc>
          <w:tcPr>
            <w:tcW w:w="2257" w:type="dxa"/>
          </w:tcPr>
          <w:p w:rsidR="00C05D21" w:rsidRDefault="001611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Dentro de lo que nos podemos</w:t>
            </w:r>
            <w:r>
              <w:rPr>
                <w:rFonts w:ascii="Arial" w:eastAsia="Arial" w:hAnsi="Arial" w:cs="Arial"/>
              </w:rPr>
              <w:t xml:space="preserve"> dar cuenta las mayores consecuencias</w:t>
            </w:r>
            <w:r>
              <w:rPr>
                <w:rFonts w:ascii="Arial" w:eastAsia="Arial" w:hAnsi="Arial" w:cs="Arial"/>
              </w:rPr>
              <w:t xml:space="preserve"> es el hacer alumnos </w:t>
            </w:r>
            <w:r>
              <w:rPr>
                <w:rFonts w:ascii="Arial" w:eastAsia="Arial" w:hAnsi="Arial" w:cs="Arial"/>
              </w:rPr>
              <w:lastRenderedPageBreak/>
              <w:t>autónomos</w:t>
            </w:r>
            <w:r>
              <w:rPr>
                <w:rFonts w:ascii="Arial" w:eastAsia="Arial" w:hAnsi="Arial" w:cs="Arial"/>
              </w:rPr>
              <w:t xml:space="preserve"> y no es decir que es malo pero hay excepciones donde saben el poder que tienen que hay hasta crean docentes oprimidos, que no pueden decir ya nada libremente, n</w:t>
            </w:r>
            <w:r>
              <w:rPr>
                <w:rFonts w:ascii="Arial" w:eastAsia="Arial" w:hAnsi="Arial" w:cs="Arial"/>
              </w:rPr>
              <w:t>o pueden regañarlos, no pueden corregirlos</w:t>
            </w:r>
            <w:r>
              <w:rPr>
                <w:rFonts w:ascii="Arial" w:eastAsia="Arial" w:hAnsi="Arial" w:cs="Arial"/>
              </w:rPr>
              <w:t xml:space="preserve"> y demás</w:t>
            </w:r>
            <w:r>
              <w:rPr>
                <w:rFonts w:ascii="Arial" w:eastAsia="Arial" w:hAnsi="Arial" w:cs="Arial"/>
              </w:rPr>
              <w:t xml:space="preserve"> porque por esa libertad que se les otorgo ya se sienten</w:t>
            </w:r>
            <w:r>
              <w:rPr>
                <w:rFonts w:ascii="Arial" w:eastAsia="Arial" w:hAnsi="Arial" w:cs="Arial"/>
              </w:rPr>
              <w:t xml:space="preserve"> con la capacidad de mandar a los docentes</w:t>
            </w:r>
            <w:r>
              <w:rPr>
                <w:rFonts w:ascii="Arial" w:eastAsia="Arial" w:hAnsi="Arial" w:cs="Arial"/>
              </w:rPr>
              <w:t xml:space="preserve"> sabiendo que estos no pueden hacer nada y de esta forma exista</w:t>
            </w:r>
            <w:r>
              <w:rPr>
                <w:rFonts w:ascii="Arial" w:eastAsia="Arial" w:hAnsi="Arial" w:cs="Arial"/>
              </w:rPr>
              <w:t xml:space="preserve"> menos respeto y más</w:t>
            </w:r>
            <w:r>
              <w:rPr>
                <w:rFonts w:ascii="Arial" w:eastAsia="Arial" w:hAnsi="Arial" w:cs="Arial"/>
              </w:rPr>
              <w:t xml:space="preserve"> libertad.</w:t>
            </w:r>
          </w:p>
        </w:tc>
      </w:tr>
    </w:tbl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C05D21">
      <w:pPr>
        <w:rPr>
          <w:rFonts w:ascii="Arial" w:eastAsia="Arial" w:hAnsi="Arial" w:cs="Arial"/>
          <w:sz w:val="24"/>
          <w:szCs w:val="24"/>
        </w:rPr>
      </w:pPr>
    </w:p>
    <w:p w:rsidR="00C05D21" w:rsidRDefault="0016117C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Bi</w:t>
      </w:r>
      <w:r>
        <w:rPr>
          <w:rFonts w:ascii="Arial" w:eastAsia="Arial" w:hAnsi="Arial" w:cs="Arial"/>
          <w:b/>
          <w:sz w:val="28"/>
          <w:szCs w:val="28"/>
        </w:rPr>
        <w:t>bliografía</w:t>
      </w:r>
    </w:p>
    <w:p w:rsidR="0016117C" w:rsidRDefault="0016117C">
      <w:pPr>
        <w:rPr>
          <w:rFonts w:ascii="Arial" w:eastAsia="Arial" w:hAnsi="Arial" w:cs="Arial"/>
          <w:b/>
          <w:sz w:val="28"/>
          <w:szCs w:val="28"/>
        </w:rPr>
      </w:pPr>
    </w:p>
    <w:p w:rsidR="0016117C" w:rsidRPr="0016117C" w:rsidRDefault="0016117C" w:rsidP="0016117C">
      <w:pPr>
        <w:rPr>
          <w:rFonts w:ascii="Arial" w:eastAsia="Arial" w:hAnsi="Arial" w:cs="Arial"/>
          <w:b/>
          <w:sz w:val="24"/>
          <w:szCs w:val="24"/>
        </w:rPr>
      </w:pPr>
      <w:r w:rsidRPr="0016117C">
        <w:rPr>
          <w:rFonts w:ascii="Arial" w:hAnsi="Arial" w:cs="Arial"/>
          <w:color w:val="222222"/>
          <w:sz w:val="24"/>
          <w:szCs w:val="24"/>
          <w:shd w:val="clear" w:color="auto" w:fill="FFFFFF"/>
        </w:rPr>
        <w:t>González Monteagudo, J. (2001). John Dewey y la pedagogía progresista. </w:t>
      </w:r>
      <w:r w:rsidRPr="0016117C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El legado pedagógico del siglo XX para la escuela del siglo XXI</w:t>
      </w:r>
      <w:r w:rsidRPr="001611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C05D21" w:rsidRPr="0016117C" w:rsidRDefault="0016117C" w:rsidP="0016117C">
      <w:pPr>
        <w:rPr>
          <w:rFonts w:ascii="Arial" w:eastAsia="Arial" w:hAnsi="Arial" w:cs="Arial"/>
          <w:sz w:val="24"/>
          <w:szCs w:val="24"/>
        </w:rPr>
      </w:pPr>
      <w:r w:rsidRPr="0016117C">
        <w:rPr>
          <w:rFonts w:ascii="Arial" w:eastAsia="Arial" w:hAnsi="Arial" w:cs="Arial"/>
          <w:sz w:val="24"/>
          <w:szCs w:val="24"/>
        </w:rPr>
        <w:t>Freire, P. (1968). Pedagogía del oprimido</w:t>
      </w:r>
    </w:p>
    <w:p w:rsidR="00C05D21" w:rsidRPr="0016117C" w:rsidRDefault="0016117C" w:rsidP="0016117C">
      <w:pPr>
        <w:rPr>
          <w:rFonts w:ascii="Arial" w:eastAsia="Arial" w:hAnsi="Arial" w:cs="Arial"/>
          <w:sz w:val="24"/>
          <w:szCs w:val="24"/>
        </w:rPr>
      </w:pPr>
      <w:r w:rsidRPr="0016117C">
        <w:rPr>
          <w:rFonts w:ascii="Arial" w:eastAsia="Arial" w:hAnsi="Arial" w:cs="Arial"/>
          <w:sz w:val="24"/>
          <w:szCs w:val="24"/>
        </w:rPr>
        <w:t xml:space="preserve">Ocampo López, Javier (2008). Paulo Freire y la pedagogía del oprimido. Revista Historia de la Educación Latinoamericana, (10), 57-72. [Fecha de Consulta 21 de mayo de 2021]. </w:t>
      </w:r>
      <w:proofErr w:type="spellStart"/>
      <w:r w:rsidRPr="0016117C">
        <w:rPr>
          <w:rFonts w:ascii="Arial" w:eastAsia="Arial" w:hAnsi="Arial" w:cs="Arial"/>
          <w:sz w:val="24"/>
          <w:szCs w:val="24"/>
        </w:rPr>
        <w:t>ISSN</w:t>
      </w:r>
      <w:proofErr w:type="spellEnd"/>
      <w:r w:rsidRPr="0016117C">
        <w:rPr>
          <w:rFonts w:ascii="Arial" w:eastAsia="Arial" w:hAnsi="Arial" w:cs="Arial"/>
          <w:sz w:val="24"/>
          <w:szCs w:val="24"/>
        </w:rPr>
        <w:t>: 0122-7238. Disponible e</w:t>
      </w:r>
      <w:r w:rsidRPr="0016117C">
        <w:rPr>
          <w:rFonts w:ascii="Arial" w:eastAsia="Arial" w:hAnsi="Arial" w:cs="Arial"/>
          <w:sz w:val="24"/>
          <w:szCs w:val="24"/>
        </w:rPr>
        <w:t xml:space="preserve">n:   </w:t>
      </w:r>
      <w:hyperlink r:id="rId6">
        <w:r w:rsidRPr="0016117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</w:t>
        </w:r>
        <w:proofErr w:type="spellStart"/>
        <w:r w:rsidRPr="0016117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www.redalyc.org</w:t>
        </w:r>
        <w:proofErr w:type="spellEnd"/>
        <w:r w:rsidRPr="0016117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16117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articulo.oa?id</w:t>
        </w:r>
        <w:proofErr w:type="spellEnd"/>
        <w:r w:rsidRPr="0016117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=86901005</w:t>
        </w:r>
      </w:hyperlink>
      <w:bookmarkStart w:id="0" w:name="_GoBack"/>
      <w:bookmarkEnd w:id="0"/>
    </w:p>
    <w:sectPr w:rsidR="00C05D21" w:rsidRPr="0016117C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1C7"/>
    <w:multiLevelType w:val="multilevel"/>
    <w:tmpl w:val="64F46A8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C57978"/>
    <w:multiLevelType w:val="multilevel"/>
    <w:tmpl w:val="6FCC5048"/>
    <w:lvl w:ilvl="0">
      <w:start w:val="1"/>
      <w:numFmt w:val="bullet"/>
      <w:lvlText w:val="•"/>
      <w:lvlJc w:val="left"/>
      <w:pPr>
        <w:ind w:left="28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324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044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21"/>
    <w:rsid w:val="0016117C"/>
    <w:rsid w:val="00C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71C3E-F785-472E-91C0-92B8C912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articulo.oa?id=869010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mitiyos munarris7</dc:creator>
  <cp:lastModifiedBy>mitiyos munarris7</cp:lastModifiedBy>
  <cp:revision>2</cp:revision>
  <dcterms:created xsi:type="dcterms:W3CDTF">2021-05-31T22:57:00Z</dcterms:created>
  <dcterms:modified xsi:type="dcterms:W3CDTF">2021-05-31T22:57:00Z</dcterms:modified>
</cp:coreProperties>
</file>