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9C4" w:rsidRPr="00A269C4" w:rsidRDefault="00A269C4" w:rsidP="00A269C4">
      <w:pPr>
        <w:spacing w:after="0"/>
        <w:jc w:val="center"/>
        <w:rPr>
          <w:rFonts w:ascii="Arial" w:eastAsia="Calibri" w:hAnsi="Arial" w:cs="Arial"/>
          <w:b/>
          <w:bCs/>
          <w:sz w:val="32"/>
          <w:szCs w:val="36"/>
        </w:rPr>
      </w:pPr>
      <w:r>
        <w:rPr>
          <w:rFonts w:ascii="Arial" w:eastAsia="Calibri" w:hAnsi="Arial" w:cs="Arial"/>
          <w:b/>
          <w:bCs/>
          <w:sz w:val="32"/>
          <w:szCs w:val="36"/>
        </w:rPr>
        <w:t>Escuela Normal de Educación Preescolar</w:t>
      </w:r>
      <w:bookmarkStart w:id="0" w:name="_GoBack"/>
      <w:bookmarkEnd w:id="0"/>
    </w:p>
    <w:p w:rsidR="00A269C4" w:rsidRPr="00A269C4" w:rsidRDefault="00A269C4" w:rsidP="00A269C4">
      <w:pPr>
        <w:spacing w:after="0"/>
        <w:jc w:val="center"/>
        <w:rPr>
          <w:rFonts w:ascii="Arial" w:eastAsia="Calibri" w:hAnsi="Arial" w:cs="Arial"/>
          <w:b/>
          <w:sz w:val="32"/>
          <w:szCs w:val="36"/>
        </w:rPr>
      </w:pPr>
      <w:r w:rsidRPr="00A269C4">
        <w:rPr>
          <w:rFonts w:ascii="Arial" w:eastAsia="Calibri" w:hAnsi="Arial" w:cs="Arial"/>
          <w:b/>
          <w:sz w:val="32"/>
          <w:szCs w:val="36"/>
        </w:rPr>
        <w:t>Licenciatura en Educación Preescolar</w:t>
      </w:r>
    </w:p>
    <w:p w:rsidR="00A269C4" w:rsidRPr="00A269C4" w:rsidRDefault="00A269C4" w:rsidP="00A269C4">
      <w:pPr>
        <w:spacing w:after="0"/>
        <w:jc w:val="center"/>
        <w:rPr>
          <w:rFonts w:ascii="Arial" w:eastAsia="Calibri" w:hAnsi="Arial" w:cs="Arial"/>
          <w:b/>
          <w:sz w:val="32"/>
          <w:szCs w:val="36"/>
        </w:rPr>
      </w:pPr>
      <w:r w:rsidRPr="00A269C4">
        <w:rPr>
          <w:rFonts w:ascii="Arial" w:eastAsia="Calibri" w:hAnsi="Arial" w:cs="Arial"/>
          <w:b/>
          <w:sz w:val="32"/>
          <w:szCs w:val="36"/>
        </w:rPr>
        <w:t>Ciclo escolar 2020-2021</w:t>
      </w:r>
    </w:p>
    <w:p w:rsidR="00A269C4" w:rsidRPr="00A269C4" w:rsidRDefault="00A269C4" w:rsidP="00A269C4">
      <w:pPr>
        <w:jc w:val="center"/>
        <w:rPr>
          <w:rFonts w:ascii="Arial" w:eastAsia="Calibri" w:hAnsi="Arial" w:cs="Arial"/>
          <w:sz w:val="32"/>
          <w:szCs w:val="36"/>
        </w:rPr>
      </w:pPr>
      <w:r w:rsidRPr="00A269C4">
        <w:rPr>
          <w:rFonts w:ascii="Arial" w:eastAsia="Calibri" w:hAnsi="Arial" w:cs="Arial"/>
          <w:b/>
          <w:noProof/>
          <w:sz w:val="32"/>
          <w:szCs w:val="36"/>
          <w:lang w:eastAsia="es-MX"/>
        </w:rPr>
        <w:drawing>
          <wp:anchor distT="0" distB="0" distL="114300" distR="114300" simplePos="0" relativeHeight="251659264" behindDoc="0" locked="0" layoutInCell="1" allowOverlap="1" wp14:anchorId="73EFE7DD" wp14:editId="559EEFF0">
            <wp:simplePos x="0" y="0"/>
            <wp:positionH relativeFrom="margin">
              <wp:posOffset>1929765</wp:posOffset>
            </wp:positionH>
            <wp:positionV relativeFrom="paragraph">
              <wp:posOffset>266616</wp:posOffset>
            </wp:positionV>
            <wp:extent cx="1571625" cy="1178888"/>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11788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9C4" w:rsidRPr="00A269C4" w:rsidRDefault="00A269C4" w:rsidP="00A269C4">
      <w:pPr>
        <w:jc w:val="center"/>
        <w:rPr>
          <w:rFonts w:ascii="Arial" w:eastAsia="Calibri" w:hAnsi="Arial" w:cs="Arial"/>
          <w:sz w:val="32"/>
          <w:szCs w:val="36"/>
        </w:rPr>
      </w:pPr>
    </w:p>
    <w:p w:rsidR="00A269C4" w:rsidRPr="00A269C4" w:rsidRDefault="00A269C4" w:rsidP="00A269C4">
      <w:pPr>
        <w:jc w:val="center"/>
        <w:rPr>
          <w:rFonts w:ascii="Arial" w:eastAsia="Calibri" w:hAnsi="Arial" w:cs="Arial"/>
          <w:sz w:val="32"/>
          <w:szCs w:val="36"/>
        </w:rPr>
      </w:pPr>
    </w:p>
    <w:p w:rsidR="00A269C4" w:rsidRPr="00A269C4" w:rsidRDefault="00A269C4" w:rsidP="00A269C4">
      <w:pPr>
        <w:jc w:val="center"/>
        <w:rPr>
          <w:rFonts w:ascii="Arial" w:eastAsia="Calibri" w:hAnsi="Arial" w:cs="Arial"/>
          <w:sz w:val="32"/>
          <w:szCs w:val="36"/>
        </w:rPr>
      </w:pPr>
    </w:p>
    <w:p w:rsidR="00A269C4" w:rsidRPr="00A269C4" w:rsidRDefault="00A269C4" w:rsidP="00A269C4">
      <w:pPr>
        <w:jc w:val="center"/>
        <w:rPr>
          <w:rFonts w:ascii="Arial" w:eastAsia="Calibri" w:hAnsi="Arial" w:cs="Arial"/>
          <w:sz w:val="32"/>
          <w:szCs w:val="36"/>
        </w:rPr>
      </w:pPr>
    </w:p>
    <w:p w:rsidR="00A269C4" w:rsidRPr="00A269C4" w:rsidRDefault="00A269C4" w:rsidP="00A269C4">
      <w:pPr>
        <w:pStyle w:val="Ttulo3"/>
        <w:spacing w:before="30" w:beforeAutospacing="0" w:after="30" w:afterAutospacing="0"/>
        <w:ind w:left="60"/>
        <w:jc w:val="center"/>
        <w:rPr>
          <w:rFonts w:ascii="Arial" w:eastAsia="Calibri" w:hAnsi="Arial" w:cs="Arial"/>
          <w:sz w:val="32"/>
          <w:szCs w:val="36"/>
        </w:rPr>
      </w:pPr>
      <w:r w:rsidRPr="00A269C4">
        <w:rPr>
          <w:rFonts w:ascii="Arial" w:eastAsia="Calibri" w:hAnsi="Arial" w:cs="Arial"/>
          <w:sz w:val="32"/>
          <w:szCs w:val="36"/>
        </w:rPr>
        <w:t>Curso:</w:t>
      </w:r>
    </w:p>
    <w:p w:rsidR="00A269C4" w:rsidRPr="00A269C4" w:rsidRDefault="00A269C4" w:rsidP="00A269C4">
      <w:pPr>
        <w:pStyle w:val="Ttulo3"/>
        <w:spacing w:before="30" w:beforeAutospacing="0" w:after="30" w:afterAutospacing="0"/>
        <w:ind w:left="60"/>
        <w:jc w:val="center"/>
        <w:rPr>
          <w:rFonts w:ascii="Arial" w:hAnsi="Arial" w:cs="Arial"/>
          <w:b w:val="0"/>
          <w:bCs w:val="0"/>
          <w:color w:val="000000"/>
          <w:sz w:val="32"/>
          <w:szCs w:val="36"/>
        </w:rPr>
      </w:pPr>
      <w:r w:rsidRPr="00A269C4">
        <w:rPr>
          <w:rFonts w:ascii="Arial" w:hAnsi="Arial" w:cs="Arial"/>
          <w:b w:val="0"/>
          <w:bCs w:val="0"/>
          <w:color w:val="000000"/>
          <w:sz w:val="32"/>
          <w:szCs w:val="36"/>
        </w:rPr>
        <w:t>Creación literaria</w:t>
      </w:r>
    </w:p>
    <w:p w:rsidR="00A269C4" w:rsidRPr="00A269C4" w:rsidRDefault="00A269C4" w:rsidP="00A269C4">
      <w:pPr>
        <w:pStyle w:val="Ttulo3"/>
        <w:spacing w:before="30" w:beforeAutospacing="0" w:after="30" w:afterAutospacing="0"/>
        <w:ind w:left="60"/>
        <w:jc w:val="center"/>
        <w:rPr>
          <w:rFonts w:ascii="Arial" w:hAnsi="Arial" w:cs="Arial"/>
          <w:color w:val="000000"/>
          <w:sz w:val="32"/>
          <w:szCs w:val="36"/>
        </w:rPr>
      </w:pPr>
    </w:p>
    <w:p w:rsidR="00A269C4" w:rsidRPr="00A269C4" w:rsidRDefault="00A269C4" w:rsidP="00A269C4">
      <w:pPr>
        <w:pStyle w:val="Ttulo2"/>
        <w:spacing w:before="75" w:after="75"/>
        <w:ind w:left="60"/>
        <w:jc w:val="center"/>
        <w:rPr>
          <w:rFonts w:ascii="Arial" w:hAnsi="Arial" w:cs="Arial"/>
          <w:b/>
          <w:bCs/>
          <w:color w:val="000000"/>
          <w:sz w:val="32"/>
          <w:szCs w:val="36"/>
        </w:rPr>
      </w:pPr>
      <w:r w:rsidRPr="00A269C4">
        <w:rPr>
          <w:rFonts w:ascii="Arial" w:hAnsi="Arial" w:cs="Arial"/>
          <w:b/>
          <w:bCs/>
          <w:color w:val="000000"/>
          <w:sz w:val="32"/>
          <w:szCs w:val="36"/>
        </w:rPr>
        <w:t>Actividad:</w:t>
      </w:r>
    </w:p>
    <w:p w:rsidR="00A269C4" w:rsidRPr="00A269C4" w:rsidRDefault="00A269C4" w:rsidP="00A269C4">
      <w:pPr>
        <w:jc w:val="center"/>
        <w:rPr>
          <w:rFonts w:ascii="Arial" w:hAnsi="Arial" w:cs="Arial"/>
          <w:sz w:val="32"/>
        </w:rPr>
      </w:pPr>
      <w:r w:rsidRPr="00A269C4">
        <w:rPr>
          <w:rFonts w:ascii="Arial" w:hAnsi="Arial" w:cs="Arial"/>
          <w:sz w:val="32"/>
        </w:rPr>
        <w:t>Formación (</w:t>
      </w:r>
      <w:proofErr w:type="spellStart"/>
      <w:r w:rsidRPr="00A269C4">
        <w:rPr>
          <w:rFonts w:ascii="Arial" w:hAnsi="Arial" w:cs="Arial"/>
          <w:sz w:val="32"/>
        </w:rPr>
        <w:t>Bildung</w:t>
      </w:r>
      <w:proofErr w:type="spellEnd"/>
      <w:r w:rsidRPr="00A269C4">
        <w:rPr>
          <w:rFonts w:ascii="Arial" w:hAnsi="Arial" w:cs="Arial"/>
          <w:sz w:val="32"/>
        </w:rPr>
        <w:t xml:space="preserve">) y creación literaria “Llegar a ser lo que se es” en diversos mundos posibles </w:t>
      </w:r>
    </w:p>
    <w:p w:rsidR="00A269C4" w:rsidRPr="00A269C4" w:rsidRDefault="00A269C4" w:rsidP="00A269C4">
      <w:pPr>
        <w:jc w:val="center"/>
        <w:rPr>
          <w:rFonts w:ascii="Arial" w:hAnsi="Arial" w:cs="Arial"/>
          <w:sz w:val="32"/>
        </w:rPr>
      </w:pPr>
      <w:proofErr w:type="spellStart"/>
      <w:r w:rsidRPr="00A269C4">
        <w:rPr>
          <w:rFonts w:ascii="Arial" w:hAnsi="Arial" w:cs="Arial"/>
          <w:sz w:val="32"/>
        </w:rPr>
        <w:t>Sneider</w:t>
      </w:r>
      <w:proofErr w:type="spellEnd"/>
      <w:r w:rsidRPr="00A269C4">
        <w:rPr>
          <w:rFonts w:ascii="Arial" w:hAnsi="Arial" w:cs="Arial"/>
          <w:sz w:val="32"/>
        </w:rPr>
        <w:t xml:space="preserve"> Saavedra Rey</w:t>
      </w:r>
    </w:p>
    <w:p w:rsidR="00A269C4" w:rsidRPr="00A269C4" w:rsidRDefault="00A269C4" w:rsidP="00A269C4">
      <w:pPr>
        <w:pStyle w:val="Ttulo3"/>
        <w:spacing w:before="30" w:beforeAutospacing="0" w:after="30" w:afterAutospacing="0"/>
        <w:ind w:left="60"/>
        <w:jc w:val="center"/>
        <w:rPr>
          <w:rFonts w:ascii="Arial" w:hAnsi="Arial" w:cs="Arial"/>
          <w:color w:val="000000"/>
          <w:sz w:val="32"/>
          <w:szCs w:val="36"/>
        </w:rPr>
      </w:pPr>
    </w:p>
    <w:p w:rsidR="00A269C4" w:rsidRPr="00A269C4" w:rsidRDefault="00A269C4" w:rsidP="00A269C4">
      <w:pPr>
        <w:spacing w:after="0" w:line="360" w:lineRule="auto"/>
        <w:jc w:val="center"/>
        <w:rPr>
          <w:rFonts w:ascii="Arial" w:eastAsia="Calibri" w:hAnsi="Arial" w:cs="Arial"/>
          <w:b/>
          <w:bCs/>
          <w:sz w:val="32"/>
          <w:szCs w:val="36"/>
        </w:rPr>
      </w:pPr>
      <w:r w:rsidRPr="00A269C4">
        <w:rPr>
          <w:rFonts w:ascii="Arial" w:eastAsia="Calibri" w:hAnsi="Arial" w:cs="Arial"/>
          <w:b/>
          <w:bCs/>
          <w:sz w:val="32"/>
          <w:szCs w:val="36"/>
        </w:rPr>
        <w:t>Docente:</w:t>
      </w:r>
    </w:p>
    <w:p w:rsidR="00A269C4" w:rsidRPr="00A269C4" w:rsidRDefault="00A269C4" w:rsidP="00A269C4">
      <w:pPr>
        <w:spacing w:after="0" w:line="360" w:lineRule="auto"/>
        <w:jc w:val="center"/>
        <w:rPr>
          <w:rFonts w:ascii="Arial" w:eastAsia="Calibri" w:hAnsi="Arial" w:cs="Arial"/>
          <w:sz w:val="32"/>
          <w:szCs w:val="36"/>
        </w:rPr>
      </w:pPr>
      <w:r w:rsidRPr="00A269C4">
        <w:rPr>
          <w:rFonts w:ascii="Arial" w:eastAsia="Calibri" w:hAnsi="Arial" w:cs="Arial"/>
          <w:sz w:val="32"/>
          <w:szCs w:val="36"/>
        </w:rPr>
        <w:t>Silvia Banda Servín</w:t>
      </w:r>
    </w:p>
    <w:p w:rsidR="00A269C4" w:rsidRPr="00A269C4" w:rsidRDefault="00A269C4" w:rsidP="00A269C4">
      <w:pPr>
        <w:spacing w:after="0" w:line="360" w:lineRule="auto"/>
        <w:jc w:val="center"/>
        <w:rPr>
          <w:rFonts w:ascii="Arial" w:eastAsia="Calibri" w:hAnsi="Arial" w:cs="Arial"/>
          <w:sz w:val="32"/>
          <w:szCs w:val="36"/>
        </w:rPr>
      </w:pPr>
    </w:p>
    <w:p w:rsidR="00A269C4" w:rsidRPr="00A269C4" w:rsidRDefault="00A269C4" w:rsidP="00A269C4">
      <w:pPr>
        <w:spacing w:after="0" w:line="360" w:lineRule="auto"/>
        <w:jc w:val="center"/>
        <w:rPr>
          <w:rFonts w:ascii="Arial" w:eastAsia="Calibri" w:hAnsi="Arial" w:cs="Arial"/>
          <w:b/>
          <w:bCs/>
          <w:sz w:val="32"/>
          <w:szCs w:val="36"/>
        </w:rPr>
      </w:pPr>
      <w:r w:rsidRPr="00A269C4">
        <w:rPr>
          <w:rFonts w:ascii="Arial" w:eastAsia="Calibri" w:hAnsi="Arial" w:cs="Arial"/>
          <w:b/>
          <w:bCs/>
          <w:sz w:val="32"/>
          <w:szCs w:val="36"/>
        </w:rPr>
        <w:t>Alumna:</w:t>
      </w:r>
    </w:p>
    <w:p w:rsidR="00A269C4" w:rsidRPr="00A269C4" w:rsidRDefault="00A269C4" w:rsidP="00A269C4">
      <w:pPr>
        <w:spacing w:after="0" w:line="360" w:lineRule="auto"/>
        <w:jc w:val="center"/>
        <w:rPr>
          <w:rFonts w:ascii="Arial" w:eastAsia="Calibri" w:hAnsi="Arial" w:cs="Arial"/>
          <w:sz w:val="32"/>
          <w:szCs w:val="36"/>
        </w:rPr>
      </w:pPr>
      <w:r w:rsidRPr="00A269C4">
        <w:rPr>
          <w:rFonts w:ascii="Arial" w:eastAsia="Calibri" w:hAnsi="Arial" w:cs="Arial"/>
          <w:sz w:val="32"/>
          <w:szCs w:val="36"/>
        </w:rPr>
        <w:t>Paulina Flores Dávila   #4</w:t>
      </w:r>
    </w:p>
    <w:p w:rsidR="00A269C4" w:rsidRPr="00A269C4" w:rsidRDefault="00A269C4" w:rsidP="00A269C4">
      <w:pPr>
        <w:spacing w:after="0" w:line="360" w:lineRule="auto"/>
        <w:jc w:val="center"/>
        <w:rPr>
          <w:rFonts w:ascii="Arial" w:eastAsia="Calibri" w:hAnsi="Arial" w:cs="Arial"/>
          <w:b/>
          <w:bCs/>
          <w:sz w:val="32"/>
          <w:szCs w:val="36"/>
        </w:rPr>
      </w:pPr>
    </w:p>
    <w:p w:rsidR="00A269C4" w:rsidRDefault="00A269C4" w:rsidP="00A269C4">
      <w:pPr>
        <w:spacing w:after="0" w:line="360" w:lineRule="auto"/>
        <w:jc w:val="center"/>
        <w:rPr>
          <w:rFonts w:ascii="Arial" w:eastAsia="Calibri" w:hAnsi="Arial" w:cs="Arial"/>
          <w:sz w:val="32"/>
          <w:szCs w:val="36"/>
        </w:rPr>
      </w:pPr>
      <w:r w:rsidRPr="00A269C4">
        <w:rPr>
          <w:rFonts w:ascii="Arial" w:eastAsia="Calibri" w:hAnsi="Arial" w:cs="Arial"/>
          <w:b/>
          <w:bCs/>
          <w:sz w:val="32"/>
          <w:szCs w:val="36"/>
        </w:rPr>
        <w:t>Grupo:</w:t>
      </w:r>
      <w:r w:rsidRPr="00A269C4">
        <w:rPr>
          <w:rFonts w:ascii="Arial" w:eastAsia="Calibri" w:hAnsi="Arial" w:cs="Arial"/>
          <w:sz w:val="32"/>
          <w:szCs w:val="36"/>
        </w:rPr>
        <w:t xml:space="preserve"> 3° A</w:t>
      </w:r>
    </w:p>
    <w:p w:rsidR="00A269C4" w:rsidRPr="00A269C4" w:rsidRDefault="00A269C4" w:rsidP="00A269C4">
      <w:pPr>
        <w:spacing w:after="0" w:line="360" w:lineRule="auto"/>
        <w:jc w:val="center"/>
        <w:rPr>
          <w:rFonts w:ascii="Arial" w:eastAsia="Calibri" w:hAnsi="Arial" w:cs="Arial"/>
          <w:sz w:val="32"/>
          <w:szCs w:val="36"/>
        </w:rPr>
      </w:pPr>
    </w:p>
    <w:p w:rsidR="00D457B5" w:rsidRPr="00A269C4" w:rsidRDefault="00A269C4" w:rsidP="00A269C4">
      <w:pPr>
        <w:rPr>
          <w:sz w:val="20"/>
        </w:rPr>
      </w:pPr>
      <w:r w:rsidRPr="00A269C4">
        <w:rPr>
          <w:rFonts w:ascii="Arial" w:eastAsia="Calibri" w:hAnsi="Arial" w:cs="Arial"/>
          <w:b/>
          <w:sz w:val="32"/>
          <w:szCs w:val="36"/>
        </w:rPr>
        <w:t>A 6 de junio</w:t>
      </w:r>
      <w:r w:rsidRPr="00A269C4">
        <w:rPr>
          <w:rFonts w:ascii="Arial" w:eastAsia="Calibri" w:hAnsi="Arial" w:cs="Arial"/>
          <w:b/>
          <w:sz w:val="32"/>
          <w:szCs w:val="36"/>
        </w:rPr>
        <w:t xml:space="preserve"> del 2021</w:t>
      </w:r>
      <w:r w:rsidRPr="00A269C4">
        <w:rPr>
          <w:rFonts w:ascii="Arial" w:eastAsia="Calibri" w:hAnsi="Arial" w:cs="Arial"/>
          <w:sz w:val="32"/>
          <w:szCs w:val="36"/>
        </w:rPr>
        <w:t xml:space="preserve">                   </w:t>
      </w:r>
      <w:r w:rsidRPr="00A269C4">
        <w:rPr>
          <w:rFonts w:ascii="Arial" w:eastAsia="Calibri" w:hAnsi="Arial" w:cs="Arial"/>
          <w:b/>
          <w:sz w:val="32"/>
          <w:szCs w:val="36"/>
        </w:rPr>
        <w:t>Saltillo, Coahuila</w:t>
      </w:r>
    </w:p>
    <w:p w:rsidR="00556C00" w:rsidRDefault="00556C00"/>
    <w:p w:rsidR="00A269C4" w:rsidRDefault="00A269C4" w:rsidP="00A269C4">
      <w:pPr>
        <w:jc w:val="center"/>
        <w:rPr>
          <w:b/>
          <w:sz w:val="24"/>
        </w:rPr>
      </w:pPr>
      <w:r w:rsidRPr="00A269C4">
        <w:rPr>
          <w:b/>
          <w:sz w:val="24"/>
        </w:rPr>
        <w:lastRenderedPageBreak/>
        <w:t>Formación (</w:t>
      </w:r>
      <w:proofErr w:type="spellStart"/>
      <w:r w:rsidRPr="00A269C4">
        <w:rPr>
          <w:b/>
          <w:sz w:val="24"/>
        </w:rPr>
        <w:t>Bildung</w:t>
      </w:r>
      <w:proofErr w:type="spellEnd"/>
      <w:r w:rsidRPr="00A269C4">
        <w:rPr>
          <w:b/>
          <w:sz w:val="24"/>
        </w:rPr>
        <w:t xml:space="preserve">) y creación literaria “Llegar a ser lo que se es” en diversos mundos posibles </w:t>
      </w:r>
      <w:proofErr w:type="spellStart"/>
      <w:r w:rsidRPr="00A269C4">
        <w:rPr>
          <w:b/>
          <w:sz w:val="24"/>
        </w:rPr>
        <w:t>Sneider</w:t>
      </w:r>
      <w:proofErr w:type="spellEnd"/>
      <w:r w:rsidRPr="00A269C4">
        <w:rPr>
          <w:b/>
          <w:sz w:val="24"/>
        </w:rPr>
        <w:t xml:space="preserve"> Saavedra Rey</w:t>
      </w:r>
    </w:p>
    <w:p w:rsidR="00556C00" w:rsidRPr="00A269C4" w:rsidRDefault="005368BB" w:rsidP="00A269C4">
      <w:pPr>
        <w:pStyle w:val="Prrafodelista"/>
        <w:numPr>
          <w:ilvl w:val="0"/>
          <w:numId w:val="1"/>
        </w:numPr>
        <w:rPr>
          <w:b/>
          <w:sz w:val="24"/>
        </w:rPr>
      </w:pPr>
      <w:r>
        <w:t>L</w:t>
      </w:r>
      <w:r w:rsidR="00556C00">
        <w:t>a creación literaria, a pesar de su marginalidad en las prácticas educativas referidas al lenguaje, la lengua y la literatura, podría participar de dicho proceso formativo, pues la ficción, sus estrategias y elementos discursivos, supone una creación de lo no conocido</w:t>
      </w:r>
      <w:r w:rsidR="00A269C4">
        <w:t xml:space="preserve">, una invención, que expresa </w:t>
      </w:r>
      <w:r w:rsidR="00556C00">
        <w:t>necesidad humana «de lo imaginario, además de lo acaecido y real» (Marías, 1995).</w:t>
      </w:r>
    </w:p>
    <w:p w:rsidR="00A269C4" w:rsidRPr="00A269C4" w:rsidRDefault="00A269C4" w:rsidP="00A269C4">
      <w:pPr>
        <w:pStyle w:val="Prrafodelista"/>
        <w:rPr>
          <w:b/>
          <w:sz w:val="24"/>
        </w:rPr>
      </w:pPr>
    </w:p>
    <w:p w:rsidR="005368BB" w:rsidRDefault="00A269C4" w:rsidP="00A269C4">
      <w:pPr>
        <w:pStyle w:val="Prrafodelista"/>
        <w:numPr>
          <w:ilvl w:val="0"/>
          <w:numId w:val="1"/>
        </w:numPr>
      </w:pPr>
      <w:r>
        <w:t>En</w:t>
      </w:r>
      <w:r w:rsidR="005368BB">
        <w:t xml:space="preserve"> el ámbito de la pedagogía de la literatura, plantea la condición marginal de la creación literaria en el contexto educativo y las posibilidades de un nuevo campo, el de la formación literaria, basado en la escritura creativa, para configurar desde la ficción otras posibilidades del ser del hombre, en su trasegar por otros mundos posibles.</w:t>
      </w:r>
    </w:p>
    <w:p w:rsidR="00A269C4" w:rsidRDefault="00A269C4" w:rsidP="00A269C4">
      <w:pPr>
        <w:pStyle w:val="Prrafodelista"/>
      </w:pPr>
    </w:p>
    <w:p w:rsidR="00A269C4" w:rsidRDefault="00A269C4" w:rsidP="00A269C4">
      <w:pPr>
        <w:pStyle w:val="Prrafodelista"/>
      </w:pPr>
    </w:p>
    <w:p w:rsidR="005368BB" w:rsidRDefault="00A269C4" w:rsidP="00A269C4">
      <w:pPr>
        <w:pStyle w:val="Prrafodelista"/>
        <w:numPr>
          <w:ilvl w:val="0"/>
          <w:numId w:val="1"/>
        </w:numPr>
      </w:pPr>
      <w:r>
        <w:t>El</w:t>
      </w:r>
      <w:r w:rsidR="005368BB">
        <w:t xml:space="preserve"> acto de formar (interno) desborda la acción educativa (externa), de la cual no se puede prescindir, pues vincula culturalmente a la persona y la encara en el ámbito social, problematizando su interior.</w:t>
      </w:r>
    </w:p>
    <w:p w:rsidR="00A269C4" w:rsidRDefault="00A269C4" w:rsidP="00A269C4">
      <w:pPr>
        <w:pStyle w:val="Prrafodelista"/>
      </w:pPr>
    </w:p>
    <w:p w:rsidR="00E5262C" w:rsidRDefault="00E5262C" w:rsidP="00A269C4">
      <w:pPr>
        <w:pStyle w:val="Prrafodelista"/>
        <w:numPr>
          <w:ilvl w:val="0"/>
          <w:numId w:val="1"/>
        </w:numPr>
      </w:pPr>
      <w:r>
        <w:t>Quien solo aprende lo previsto de la acción educativa, sin ponerse en cuestión, conoce de teorías, estrategias, técnicas y procedimientos, pero esto no garantiza que tales saberes lo constituyan como persona, que hagan parte de su espíritu y formación vital</w:t>
      </w:r>
      <w:r w:rsidR="00A269C4">
        <w:t>.</w:t>
      </w:r>
    </w:p>
    <w:p w:rsidR="00A269C4" w:rsidRDefault="00A269C4" w:rsidP="00A269C4">
      <w:pPr>
        <w:pStyle w:val="Prrafodelista"/>
      </w:pPr>
    </w:p>
    <w:p w:rsidR="00A269C4" w:rsidRDefault="00A269C4" w:rsidP="00A269C4">
      <w:pPr>
        <w:pStyle w:val="Prrafodelista"/>
      </w:pPr>
    </w:p>
    <w:p w:rsidR="00E5262C" w:rsidRDefault="00E5262C" w:rsidP="00A269C4">
      <w:pPr>
        <w:pStyle w:val="Prrafodelista"/>
        <w:numPr>
          <w:ilvl w:val="0"/>
          <w:numId w:val="1"/>
        </w:numPr>
      </w:pPr>
      <w:r>
        <w:t xml:space="preserve">Quizá, las mejores ilustraciones para comprender esta distinción entre educar y formar sean las aproximaciones que desde la ficción y el mito ha realizado </w:t>
      </w:r>
      <w:proofErr w:type="spellStart"/>
      <w:r>
        <w:t>Merieu</w:t>
      </w:r>
      <w:proofErr w:type="spellEnd"/>
      <w:r>
        <w:t xml:space="preserve"> (2007)</w:t>
      </w:r>
      <w:r w:rsidR="00A269C4">
        <w:t>.</w:t>
      </w:r>
    </w:p>
    <w:p w:rsidR="00A269C4" w:rsidRDefault="00A269C4" w:rsidP="00A269C4">
      <w:pPr>
        <w:pStyle w:val="Prrafodelista"/>
      </w:pPr>
    </w:p>
    <w:p w:rsidR="00E5262C" w:rsidRDefault="00A269C4" w:rsidP="00A269C4">
      <w:pPr>
        <w:pStyle w:val="Prrafodelista"/>
        <w:numPr>
          <w:ilvl w:val="0"/>
          <w:numId w:val="1"/>
        </w:numPr>
      </w:pPr>
      <w:r>
        <w:t>La</w:t>
      </w:r>
      <w:r w:rsidR="00E5262C">
        <w:t xml:space="preserve"> fatalidad de un proyecto educativo que no contemple tales contingencias, ya que obra con humanos, con agentes espirituales, físicos, mentales y volitivos; no con objetos: «lo normal, en educación, es que la cosa no funcione: que el otro se resista, se esconda o se rebele […], a veces, simplemente, para recordarnos que no es un objeto en construcción sino un sujeto que se construye» (p. 73)</w:t>
      </w:r>
      <w:r>
        <w:t>.</w:t>
      </w:r>
    </w:p>
    <w:p w:rsidR="00A269C4" w:rsidRDefault="00A269C4" w:rsidP="00A269C4">
      <w:pPr>
        <w:pStyle w:val="Prrafodelista"/>
      </w:pPr>
    </w:p>
    <w:p w:rsidR="00A269C4" w:rsidRDefault="00A269C4" w:rsidP="00A269C4">
      <w:pPr>
        <w:pStyle w:val="Prrafodelista"/>
      </w:pPr>
    </w:p>
    <w:p w:rsidR="00E5262C" w:rsidRDefault="00A269C4" w:rsidP="00A269C4">
      <w:pPr>
        <w:pStyle w:val="Prrafodelista"/>
        <w:numPr>
          <w:ilvl w:val="0"/>
          <w:numId w:val="1"/>
        </w:numPr>
      </w:pPr>
      <w:r>
        <w:t>La</w:t>
      </w:r>
      <w:r w:rsidR="00E5262C">
        <w:t xml:space="preserve"> educación posibilita una experiencia profunda en el escenario cultural y social al cual el niño llega al nacer, desde su contexto familiar hasta la escuela, atravesando todos los ámbitos externos que procuran acogerlo y legarle una visión de mundo y un modo de vida</w:t>
      </w:r>
      <w:r>
        <w:t>.</w:t>
      </w:r>
    </w:p>
    <w:p w:rsidR="00A269C4" w:rsidRDefault="00A269C4" w:rsidP="00A269C4">
      <w:pPr>
        <w:pStyle w:val="Prrafodelista"/>
      </w:pPr>
    </w:p>
    <w:p w:rsidR="00E5262C" w:rsidRDefault="00E5262C" w:rsidP="00A269C4">
      <w:pPr>
        <w:pStyle w:val="Prrafodelista"/>
        <w:numPr>
          <w:ilvl w:val="0"/>
          <w:numId w:val="1"/>
        </w:numPr>
      </w:pPr>
      <w:r>
        <w:t>Heidegger, quien afirma que formar es «poner en libertad el ser en la comparecencia del ente mismo»,</w:t>
      </w:r>
      <w:r>
        <w:t xml:space="preserve"> </w:t>
      </w:r>
      <w:r>
        <w:t>Se trata de que el ser alcance la plenitud de su despliegue mediante su propia exposición por vía de, a través de y en el lenguaje</w:t>
      </w:r>
      <w:r>
        <w:t>.</w:t>
      </w:r>
    </w:p>
    <w:p w:rsidR="00A269C4" w:rsidRDefault="00A269C4" w:rsidP="00A269C4">
      <w:pPr>
        <w:pStyle w:val="Prrafodelista"/>
      </w:pPr>
    </w:p>
    <w:p w:rsidR="00556C00" w:rsidRDefault="00A269C4" w:rsidP="00A269C4">
      <w:pPr>
        <w:pStyle w:val="Prrafodelista"/>
        <w:numPr>
          <w:ilvl w:val="0"/>
          <w:numId w:val="1"/>
        </w:numPr>
      </w:pPr>
      <w:r>
        <w:t>Se</w:t>
      </w:r>
      <w:r w:rsidR="00E5262C">
        <w:t xml:space="preserve"> ha fundamentado la formación (</w:t>
      </w:r>
      <w:proofErr w:type="spellStart"/>
      <w:r w:rsidR="00E5262C">
        <w:t>Bildung</w:t>
      </w:r>
      <w:proofErr w:type="spellEnd"/>
      <w:r w:rsidR="00E5262C">
        <w:t xml:space="preserve">) como criterio esencial para contribuir a responder estos cuestionamientos, pues mediante el arte de la escritura y su realidad </w:t>
      </w:r>
      <w:r w:rsidR="00E5262C">
        <w:lastRenderedPageBreak/>
        <w:t>alternativa se da orden y sentido a esa existencia que fluye de manera inconmensurable y caótica</w:t>
      </w:r>
      <w:r>
        <w:t>.</w:t>
      </w:r>
    </w:p>
    <w:p w:rsidR="00A269C4" w:rsidRDefault="00A269C4" w:rsidP="00A269C4">
      <w:pPr>
        <w:pStyle w:val="Prrafodelista"/>
      </w:pPr>
    </w:p>
    <w:p w:rsidR="00A269C4" w:rsidRDefault="00A269C4" w:rsidP="00A269C4">
      <w:r>
        <w:t>Estoy de acuerdo con las ideas implementadas ya que el alumno adquiere aprendizajes previos desde su contexto familiar, al ingresar a su contexto educativo adquirirá otras habilidades, valores, estrategias y sobre todo el saber comunicarse mediante el lenguaje y la escritura.</w:t>
      </w:r>
    </w:p>
    <w:sectPr w:rsidR="00A269C4" w:rsidSect="00A269C4">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0305E5"/>
    <w:multiLevelType w:val="hybridMultilevel"/>
    <w:tmpl w:val="B650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00"/>
    <w:rsid w:val="005368BB"/>
    <w:rsid w:val="00556C00"/>
    <w:rsid w:val="00A269C4"/>
    <w:rsid w:val="00D457B5"/>
    <w:rsid w:val="00E526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06DEE-C919-4CE9-BF03-14EBB600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A269C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A269C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A269C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A269C4"/>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A26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dc:creator>
  <cp:keywords/>
  <dc:description/>
  <cp:lastModifiedBy>Paulina Flores</cp:lastModifiedBy>
  <cp:revision>1</cp:revision>
  <dcterms:created xsi:type="dcterms:W3CDTF">2021-06-07T02:31:00Z</dcterms:created>
  <dcterms:modified xsi:type="dcterms:W3CDTF">2021-06-07T04:44:00Z</dcterms:modified>
</cp:coreProperties>
</file>